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keepNext w:val="0"/>
        <w:keepLines w:val="0"/>
        <w:spacing w:before="480" w:lineRule="auto"/>
        <w:rPr>
          <w:b w:val="1"/>
          <w:bCs w:val="1"/>
          <w:sz w:val="46"/>
          <w:szCs w:val="46"/>
        </w:rPr>
      </w:pPr>
      <w:bookmarkStart w:colFirst="0" w:colLast="0" w:name="_7xxwdvrxr6la" w:id="0"/>
      <w:bookmarkEnd w:id="0"/>
      <w:r w:rsidDel="00000000" w:rsidR="00000000" w:rsidRPr="00000000">
        <w:rPr>
          <w:b w:val="1"/>
          <w:bCs w:val="1"/>
          <w:sz w:val="46"/>
          <w:szCs w:val="46"/>
          <w:rtl w:val="0"/>
        </w:rPr>
        <w:t xml:space="preserve">Doctrinal critique of SRA decision RGC‑000175478</w:t>
      </w:r>
    </w:p>
    <w:p w:rsidR="00000000" w:rsidDel="00000000" w:rsidP="00000000" w:rsidRDefault="00000000" w:rsidRPr="00000000" w14:paraId="00000002">
      <w:pPr>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3">
      <w:pPr>
        <w:pStyle w:val="Heading2"/>
        <w:keepNext w:val="0"/>
        <w:keepLines w:val="0"/>
        <w:spacing w:after="80" w:lineRule="auto"/>
        <w:rPr>
          <w:b w:val="1"/>
          <w:bCs w:val="1"/>
          <w:sz w:val="38"/>
          <w:szCs w:val="38"/>
        </w:rPr>
      </w:pPr>
      <w:bookmarkStart w:colFirst="0" w:colLast="0" w:name="_5kewio1oq2gt" w:id="1"/>
      <w:bookmarkEnd w:id="1"/>
      <w:r w:rsidDel="00000000" w:rsidR="00000000" w:rsidRPr="00000000">
        <w:rPr>
          <w:b w:val="1"/>
          <w:bCs w:val="1"/>
          <w:sz w:val="38"/>
          <w:szCs w:val="38"/>
          <w:rtl w:val="0"/>
        </w:rPr>
        <w:t xml:space="preserve">1. Structural frame: what the SRA was </w:t>
      </w:r>
      <w:r w:rsidDel="00000000" w:rsidR="00000000" w:rsidRPr="00000000">
        <w:rPr>
          <w:b w:val="1"/>
          <w:bCs w:val="1"/>
          <w:i w:val="1"/>
          <w:iCs w:val="1"/>
          <w:sz w:val="38"/>
          <w:szCs w:val="38"/>
          <w:rtl w:val="0"/>
        </w:rPr>
        <w:t xml:space="preserve">supposed</w:t>
      </w:r>
      <w:r w:rsidDel="00000000" w:rsidR="00000000" w:rsidRPr="00000000">
        <w:rPr>
          <w:b w:val="1"/>
          <w:bCs w:val="1"/>
          <w:sz w:val="38"/>
          <w:szCs w:val="38"/>
          <w:rtl w:val="0"/>
        </w:rPr>
        <w:t xml:space="preserve"> to be doing</w:t>
      </w:r>
    </w:p>
    <w:p w:rsidR="00000000" w:rsidDel="00000000" w:rsidP="00000000" w:rsidRDefault="00000000" w:rsidRPr="00000000" w14:paraId="00000004">
      <w:pPr>
        <w:spacing w:after="240" w:before="240" w:lineRule="auto"/>
        <w:rPr>
          <w:color w:val="1155cc"/>
          <w:sz w:val="26"/>
          <w:szCs w:val="26"/>
          <w:u w:val="single"/>
        </w:rPr>
      </w:pPr>
      <w:r w:rsidDel="00000000" w:rsidR="00000000" w:rsidRPr="00000000">
        <w:rPr>
          <w:sz w:val="26"/>
          <w:szCs w:val="26"/>
          <w:rtl w:val="0"/>
        </w:rPr>
        <w:t xml:space="preserve">Under the SRA Standards and Regulations, the SRA Principles are the “fundamental tenets of ethical behaviour” expected of those it regulates and, by implication, of the regulator’s own decision‑making: upholding the rule of law, public trust, and a safe and effective market for legal services.</w:t>
      </w:r>
      <w:hyperlink r:id="rId6">
        <w:r w:rsidDel="00000000" w:rsidR="00000000" w:rsidRPr="00000000">
          <w:rPr>
            <w:sz w:val="26"/>
            <w:szCs w:val="26"/>
            <w:rtl w:val="0"/>
          </w:rPr>
          <w:t xml:space="preserve"> </w:t>
        </w:r>
      </w:hyperlink>
      <w:hyperlink r:id="rId7">
        <w:r w:rsidDel="00000000" w:rsidR="00000000" w:rsidRPr="00000000">
          <w:rPr>
            <w:color w:val="1155cc"/>
            <w:sz w:val="26"/>
            <w:szCs w:val="26"/>
            <w:u w:val="single"/>
            <w:rtl w:val="0"/>
          </w:rPr>
          <w:t xml:space="preserve">Solicitors Regulation Authority</w:t>
        </w:r>
      </w:hyperlink>
      <w:r w:rsidDel="00000000" w:rsidR="00000000" w:rsidRPr="00000000">
        <w:rPr>
          <w:rtl w:val="0"/>
        </w:rPr>
      </w:r>
    </w:p>
    <w:p w:rsidR="00000000" w:rsidDel="00000000" w:rsidP="00000000" w:rsidRDefault="00000000" w:rsidRPr="00000000" w14:paraId="00000005">
      <w:pPr>
        <w:spacing w:after="240" w:before="240" w:lineRule="auto"/>
        <w:rPr>
          <w:sz w:val="26"/>
          <w:szCs w:val="26"/>
        </w:rPr>
      </w:pPr>
      <w:r w:rsidDel="00000000" w:rsidR="00000000" w:rsidRPr="00000000">
        <w:rPr>
          <w:sz w:val="26"/>
          <w:szCs w:val="26"/>
          <w:rtl w:val="0"/>
        </w:rPr>
        <w:t xml:space="preserve">The Code of Conduct for Firms requires firms to create and maintain systems that ensure competent, ethical services and compliance with legal and regulatory obligations.</w:t>
      </w:r>
      <w:hyperlink r:id="rId8">
        <w:r w:rsidDel="00000000" w:rsidR="00000000" w:rsidRPr="00000000">
          <w:rPr>
            <w:sz w:val="26"/>
            <w:szCs w:val="26"/>
            <w:rtl w:val="0"/>
          </w:rPr>
          <w:t xml:space="preserve"> </w:t>
        </w:r>
      </w:hyperlink>
      <w:hyperlink r:id="rId9">
        <w:r w:rsidDel="00000000" w:rsidR="00000000" w:rsidRPr="00000000">
          <w:rPr>
            <w:color w:val="1155cc"/>
            <w:sz w:val="26"/>
            <w:szCs w:val="26"/>
            <w:u w:val="single"/>
            <w:rtl w:val="0"/>
          </w:rPr>
          <w:t xml:space="preserve">Solicitors Regulation Authority</w:t>
        </w:r>
      </w:hyperlink>
      <w:r w:rsidDel="00000000" w:rsidR="00000000" w:rsidRPr="00000000">
        <w:rPr>
          <w:sz w:val="26"/>
          <w:szCs w:val="26"/>
          <w:rtl w:val="0"/>
        </w:rPr>
        <w:t xml:space="preserve"> The Enforcement Strategy and Assessment Threshold Test are designed to decide </w:t>
      </w:r>
      <w:r w:rsidDel="00000000" w:rsidR="00000000" w:rsidRPr="00000000">
        <w:rPr>
          <w:i w:val="1"/>
          <w:iCs w:val="1"/>
          <w:sz w:val="26"/>
          <w:szCs w:val="26"/>
          <w:rtl w:val="0"/>
        </w:rPr>
        <w:t xml:space="preserve">whether concerns are capable of amounting to misconduct</w:t>
      </w:r>
      <w:r w:rsidDel="00000000" w:rsidR="00000000" w:rsidRPr="00000000">
        <w:rPr>
          <w:sz w:val="26"/>
          <w:szCs w:val="26"/>
          <w:rtl w:val="0"/>
        </w:rPr>
        <w:t xml:space="preserve">, not to pre‑judge the outcome in the firm’s favour.</w:t>
      </w:r>
    </w:p>
    <w:p w:rsidR="00000000" w:rsidDel="00000000" w:rsidP="00000000" w:rsidRDefault="00000000" w:rsidRPr="00000000" w14:paraId="00000006">
      <w:pPr>
        <w:spacing w:after="240" w:before="240" w:lineRule="auto"/>
        <w:rPr>
          <w:sz w:val="26"/>
          <w:szCs w:val="26"/>
        </w:rPr>
      </w:pPr>
      <w:r w:rsidDel="00000000" w:rsidR="00000000" w:rsidRPr="00000000">
        <w:rPr>
          <w:sz w:val="26"/>
          <w:szCs w:val="26"/>
          <w:rtl w:val="0"/>
        </w:rPr>
        <w:t xml:space="preserve">Against that framework, the SRA’s decision should have:</w:t>
      </w:r>
    </w:p>
    <w:p w:rsidR="00000000" w:rsidDel="00000000" w:rsidP="00000000" w:rsidRDefault="00000000" w:rsidRPr="00000000" w14:paraId="00000007">
      <w:pPr>
        <w:numPr>
          <w:ilvl w:val="0"/>
          <w:numId w:val="1"/>
        </w:numPr>
        <w:spacing w:after="0" w:afterAutospacing="0" w:before="240" w:lineRule="auto"/>
        <w:ind w:left="720" w:hanging="360"/>
        <w:rPr>
          <w:sz w:val="26"/>
          <w:szCs w:val="26"/>
        </w:rPr>
      </w:pPr>
      <w:r w:rsidDel="00000000" w:rsidR="00000000" w:rsidRPr="00000000">
        <w:rPr>
          <w:sz w:val="26"/>
          <w:szCs w:val="26"/>
          <w:rtl w:val="0"/>
        </w:rPr>
        <w:t xml:space="preserve">Identified the regulatory questions (authority, standing, misleading conduct, disclosure, Land Registry representations).</w:t>
      </w:r>
    </w:p>
    <w:p w:rsidR="00000000" w:rsidDel="00000000" w:rsidP="00000000" w:rsidRDefault="00000000" w:rsidRPr="00000000" w14:paraId="00000008">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Tested the evidence (including the transcript and documents).</w:t>
      </w:r>
    </w:p>
    <w:p w:rsidR="00000000" w:rsidDel="00000000" w:rsidP="00000000" w:rsidRDefault="00000000" w:rsidRPr="00000000" w14:paraId="00000009">
      <w:pPr>
        <w:numPr>
          <w:ilvl w:val="0"/>
          <w:numId w:val="1"/>
        </w:numPr>
        <w:spacing w:after="0" w:afterAutospacing="0" w:before="0" w:beforeAutospacing="0" w:lineRule="auto"/>
        <w:ind w:left="720" w:hanging="360"/>
        <w:rPr>
          <w:sz w:val="26"/>
          <w:szCs w:val="26"/>
        </w:rPr>
      </w:pPr>
      <w:r w:rsidDel="00000000" w:rsidR="00000000" w:rsidRPr="00000000">
        <w:rPr>
          <w:sz w:val="26"/>
          <w:szCs w:val="26"/>
          <w:rtl w:val="0"/>
        </w:rPr>
        <w:t xml:space="preserve">Applied the Principles and Codes to those facts.</w:t>
      </w:r>
    </w:p>
    <w:p w:rsidR="00000000" w:rsidDel="00000000" w:rsidP="00000000" w:rsidRDefault="00000000" w:rsidRPr="00000000" w14:paraId="0000000A">
      <w:pPr>
        <w:numPr>
          <w:ilvl w:val="0"/>
          <w:numId w:val="1"/>
        </w:numPr>
        <w:spacing w:after="240" w:before="0" w:beforeAutospacing="0" w:lineRule="auto"/>
        <w:ind w:left="720" w:hanging="360"/>
        <w:rPr>
          <w:sz w:val="26"/>
          <w:szCs w:val="26"/>
        </w:rPr>
      </w:pPr>
      <w:r w:rsidDel="00000000" w:rsidR="00000000" w:rsidRPr="00000000">
        <w:rPr>
          <w:sz w:val="26"/>
          <w:szCs w:val="26"/>
          <w:rtl w:val="0"/>
        </w:rPr>
        <w:t xml:space="preserve">Explained why the threshold for investigation was or was not met.</w:t>
      </w:r>
    </w:p>
    <w:p w:rsidR="00000000" w:rsidDel="00000000" w:rsidP="00000000" w:rsidRDefault="00000000" w:rsidRPr="00000000" w14:paraId="0000000B">
      <w:pPr>
        <w:spacing w:after="240" w:before="240" w:lineRule="auto"/>
        <w:rPr>
          <w:sz w:val="26"/>
          <w:szCs w:val="26"/>
        </w:rPr>
      </w:pPr>
      <w:r w:rsidDel="00000000" w:rsidR="00000000" w:rsidRPr="00000000">
        <w:rPr>
          <w:sz w:val="26"/>
          <w:szCs w:val="26"/>
          <w:rtl w:val="0"/>
        </w:rPr>
        <w:t xml:space="preserve">Instead, the decision repeatedly relies on assertions, deflection to other bodies, and a narrow “no conclusive evidence” mantra while refusing to investigate the very evidence that would make anything conclusive.</w:t>
      </w:r>
    </w:p>
    <w:p w:rsidR="00000000" w:rsidDel="00000000" w:rsidP="00000000" w:rsidRDefault="00000000" w:rsidRPr="00000000" w14:paraId="0000000C">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0D">
      <w:pPr>
        <w:pStyle w:val="Heading2"/>
        <w:keepNext w:val="0"/>
        <w:keepLines w:val="0"/>
        <w:spacing w:after="80" w:lineRule="auto"/>
        <w:rPr>
          <w:b w:val="1"/>
          <w:bCs w:val="1"/>
          <w:sz w:val="38"/>
          <w:szCs w:val="38"/>
        </w:rPr>
      </w:pPr>
      <w:bookmarkStart w:colFirst="0" w:colLast="0" w:name="_k4rpafwldaqv" w:id="2"/>
      <w:bookmarkEnd w:id="2"/>
      <w:r w:rsidDel="00000000" w:rsidR="00000000" w:rsidRPr="00000000">
        <w:rPr>
          <w:b w:val="1"/>
          <w:bCs w:val="1"/>
          <w:sz w:val="38"/>
          <w:szCs w:val="38"/>
          <w:rtl w:val="0"/>
        </w:rPr>
        <w:t xml:space="preserve">2. Chronological impossibility and procedural reliability</w:t>
      </w:r>
    </w:p>
    <w:p w:rsidR="00000000" w:rsidDel="00000000" w:rsidP="00000000" w:rsidRDefault="00000000" w:rsidRPr="00000000" w14:paraId="0000000E">
      <w:pPr>
        <w:spacing w:after="240" w:before="240" w:lineRule="auto"/>
        <w:rPr>
          <w:sz w:val="26"/>
          <w:szCs w:val="26"/>
        </w:rPr>
      </w:pPr>
      <w:r w:rsidDel="00000000" w:rsidR="00000000" w:rsidRPr="00000000">
        <w:rPr>
          <w:sz w:val="26"/>
          <w:szCs w:val="26"/>
          <w:rtl w:val="0"/>
        </w:rPr>
        <w:t xml:space="preserve">The decision states:</w:t>
      </w:r>
    </w:p>
    <w:p w:rsidR="00000000" w:rsidDel="00000000" w:rsidP="00000000" w:rsidRDefault="00000000" w:rsidRPr="00000000" w14:paraId="0000000F">
      <w:pPr>
        <w:spacing w:after="240" w:before="240" w:lineRule="auto"/>
        <w:ind w:left="600" w:right="600" w:firstLine="0"/>
        <w:rPr>
          <w:sz w:val="26"/>
          <w:szCs w:val="26"/>
        </w:rPr>
      </w:pPr>
      <w:r w:rsidDel="00000000" w:rsidR="00000000" w:rsidRPr="00000000">
        <w:rPr>
          <w:sz w:val="26"/>
          <w:szCs w:val="26"/>
          <w:rtl w:val="0"/>
        </w:rPr>
        <w:t xml:space="preserve">“On 13 November 2026, we received a report from George Nomen…”</w:t>
      </w:r>
    </w:p>
    <w:p w:rsidR="00000000" w:rsidDel="00000000" w:rsidP="00000000" w:rsidRDefault="00000000" w:rsidRPr="00000000" w14:paraId="00000010">
      <w:pPr>
        <w:spacing w:after="240" w:before="240" w:lineRule="auto"/>
        <w:rPr>
          <w:sz w:val="26"/>
          <w:szCs w:val="26"/>
        </w:rPr>
      </w:pPr>
      <w:r w:rsidDel="00000000" w:rsidR="00000000" w:rsidRPr="00000000">
        <w:rPr>
          <w:sz w:val="26"/>
          <w:szCs w:val="26"/>
          <w:rtl w:val="0"/>
        </w:rPr>
        <w:t xml:space="preserve">but is dated </w:t>
      </w:r>
      <w:r w:rsidDel="00000000" w:rsidR="00000000" w:rsidRPr="00000000">
        <w:rPr>
          <w:b w:val="1"/>
          <w:bCs w:val="1"/>
          <w:sz w:val="26"/>
          <w:szCs w:val="26"/>
          <w:rtl w:val="0"/>
        </w:rPr>
        <w:t xml:space="preserve">18 February 2026</w:t>
      </w:r>
      <w:r w:rsidDel="00000000" w:rsidR="00000000" w:rsidRPr="00000000">
        <w:rPr>
          <w:sz w:val="26"/>
          <w:szCs w:val="26"/>
          <w:rtl w:val="0"/>
        </w:rPr>
        <w:t xml:space="preserve">.</w:t>
      </w:r>
    </w:p>
    <w:p w:rsidR="00000000" w:rsidDel="00000000" w:rsidP="00000000" w:rsidRDefault="00000000" w:rsidRPr="00000000" w14:paraId="00000011">
      <w:pPr>
        <w:spacing w:after="240" w:before="240" w:lineRule="auto"/>
        <w:rPr>
          <w:sz w:val="26"/>
          <w:szCs w:val="26"/>
        </w:rPr>
      </w:pPr>
      <w:r w:rsidDel="00000000" w:rsidR="00000000" w:rsidRPr="00000000">
        <w:rPr>
          <w:sz w:val="26"/>
          <w:szCs w:val="26"/>
          <w:rtl w:val="0"/>
        </w:rPr>
        <w:t xml:space="preserve">Doctrinally, this is not a trivial typo. A regulator exercising quasi‑judicial functions must demonstrate that it has:</w:t>
      </w:r>
    </w:p>
    <w:p w:rsidR="00000000" w:rsidDel="00000000" w:rsidP="00000000" w:rsidRDefault="00000000" w:rsidRPr="00000000" w14:paraId="00000012">
      <w:pPr>
        <w:numPr>
          <w:ilvl w:val="0"/>
          <w:numId w:val="13"/>
        </w:numPr>
        <w:spacing w:after="0" w:afterAutospacing="0" w:before="240" w:lineRule="auto"/>
        <w:ind w:left="720" w:hanging="360"/>
        <w:rPr>
          <w:sz w:val="26"/>
          <w:szCs w:val="26"/>
        </w:rPr>
      </w:pPr>
      <w:r w:rsidDel="00000000" w:rsidR="00000000" w:rsidRPr="00000000">
        <w:rPr>
          <w:sz w:val="26"/>
          <w:szCs w:val="26"/>
          <w:rtl w:val="0"/>
        </w:rPr>
        <w:t xml:space="preserve">Identified the correct complaint;</w:t>
      </w:r>
    </w:p>
    <w:p w:rsidR="00000000" w:rsidDel="00000000" w:rsidP="00000000" w:rsidRDefault="00000000" w:rsidRPr="00000000" w14:paraId="00000013">
      <w:pPr>
        <w:numPr>
          <w:ilvl w:val="0"/>
          <w:numId w:val="13"/>
        </w:numPr>
        <w:spacing w:after="0" w:afterAutospacing="0" w:before="0" w:beforeAutospacing="0" w:lineRule="auto"/>
        <w:ind w:left="720" w:hanging="360"/>
        <w:rPr>
          <w:sz w:val="26"/>
          <w:szCs w:val="26"/>
        </w:rPr>
      </w:pPr>
      <w:r w:rsidDel="00000000" w:rsidR="00000000" w:rsidRPr="00000000">
        <w:rPr>
          <w:sz w:val="26"/>
          <w:szCs w:val="26"/>
          <w:rtl w:val="0"/>
        </w:rPr>
        <w:t xml:space="preserve">Considered the correct evidence;</w:t>
      </w:r>
    </w:p>
    <w:p w:rsidR="00000000" w:rsidDel="00000000" w:rsidP="00000000" w:rsidRDefault="00000000" w:rsidRPr="00000000" w14:paraId="00000014">
      <w:pPr>
        <w:numPr>
          <w:ilvl w:val="0"/>
          <w:numId w:val="13"/>
        </w:numPr>
        <w:spacing w:after="240" w:before="0" w:beforeAutospacing="0" w:lineRule="auto"/>
        <w:ind w:left="720" w:hanging="360"/>
        <w:rPr>
          <w:sz w:val="26"/>
          <w:szCs w:val="26"/>
        </w:rPr>
      </w:pPr>
      <w:r w:rsidDel="00000000" w:rsidR="00000000" w:rsidRPr="00000000">
        <w:rPr>
          <w:sz w:val="26"/>
          <w:szCs w:val="26"/>
          <w:rtl w:val="0"/>
        </w:rPr>
        <w:t xml:space="preserve">Applied its mind to the correct time frame.</w:t>
      </w:r>
    </w:p>
    <w:p w:rsidR="00000000" w:rsidDel="00000000" w:rsidP="00000000" w:rsidRDefault="00000000" w:rsidRPr="00000000" w14:paraId="00000015">
      <w:pPr>
        <w:spacing w:after="240" w:before="240" w:lineRule="auto"/>
        <w:rPr>
          <w:sz w:val="26"/>
          <w:szCs w:val="26"/>
        </w:rPr>
      </w:pPr>
      <w:r w:rsidDel="00000000" w:rsidR="00000000" w:rsidRPr="00000000">
        <w:rPr>
          <w:sz w:val="26"/>
          <w:szCs w:val="26"/>
          <w:rtl w:val="0"/>
        </w:rPr>
        <w:t xml:space="preserve">A decision that is chronologically impossible raises a legitimate concern that:</w:t>
      </w:r>
    </w:p>
    <w:p w:rsidR="00000000" w:rsidDel="00000000" w:rsidP="00000000" w:rsidRDefault="00000000" w:rsidRPr="00000000" w14:paraId="00000016">
      <w:pPr>
        <w:numPr>
          <w:ilvl w:val="0"/>
          <w:numId w:val="3"/>
        </w:numPr>
        <w:spacing w:after="0" w:afterAutospacing="0" w:before="240" w:lineRule="auto"/>
        <w:ind w:left="720" w:hanging="360"/>
        <w:rPr>
          <w:sz w:val="26"/>
          <w:szCs w:val="26"/>
        </w:rPr>
      </w:pPr>
      <w:r w:rsidDel="00000000" w:rsidR="00000000" w:rsidRPr="00000000">
        <w:rPr>
          <w:sz w:val="26"/>
          <w:szCs w:val="26"/>
          <w:rtl w:val="0"/>
        </w:rPr>
        <w:t xml:space="preserve">The wrong file may have been assessed; or</w:t>
      </w:r>
    </w:p>
    <w:p w:rsidR="00000000" w:rsidDel="00000000" w:rsidP="00000000" w:rsidRDefault="00000000" w:rsidRPr="00000000" w14:paraId="00000017">
      <w:pPr>
        <w:numPr>
          <w:ilvl w:val="0"/>
          <w:numId w:val="3"/>
        </w:numPr>
        <w:spacing w:after="240" w:before="0" w:beforeAutospacing="0" w:lineRule="auto"/>
        <w:ind w:left="720" w:hanging="360"/>
        <w:rPr>
          <w:sz w:val="26"/>
          <w:szCs w:val="26"/>
        </w:rPr>
      </w:pPr>
      <w:r w:rsidDel="00000000" w:rsidR="00000000" w:rsidRPr="00000000">
        <w:rPr>
          <w:sz w:val="26"/>
          <w:szCs w:val="26"/>
          <w:rtl w:val="0"/>
        </w:rPr>
        <w:t xml:space="preserve">A template decision was issued without proper case‑specific scrutiny.</w:t>
      </w:r>
    </w:p>
    <w:p w:rsidR="00000000" w:rsidDel="00000000" w:rsidP="00000000" w:rsidRDefault="00000000" w:rsidRPr="00000000" w14:paraId="00000018">
      <w:pPr>
        <w:spacing w:after="240" w:before="240" w:lineRule="auto"/>
        <w:rPr>
          <w:color w:val="1155cc"/>
          <w:sz w:val="26"/>
          <w:szCs w:val="26"/>
          <w:u w:val="single"/>
        </w:rPr>
      </w:pPr>
      <w:r w:rsidDel="00000000" w:rsidR="00000000" w:rsidRPr="00000000">
        <w:rPr>
          <w:sz w:val="26"/>
          <w:szCs w:val="26"/>
          <w:rtl w:val="0"/>
        </w:rPr>
        <w:t xml:space="preserve">From a public law perspective, that goes to </w:t>
      </w:r>
      <w:r w:rsidDel="00000000" w:rsidR="00000000" w:rsidRPr="00000000">
        <w:rPr>
          <w:b w:val="1"/>
          <w:bCs w:val="1"/>
          <w:sz w:val="26"/>
          <w:szCs w:val="26"/>
          <w:rtl w:val="0"/>
        </w:rPr>
        <w:t xml:space="preserve">rationality</w:t>
      </w:r>
      <w:r w:rsidDel="00000000" w:rsidR="00000000" w:rsidRPr="00000000">
        <w:rPr>
          <w:sz w:val="26"/>
          <w:szCs w:val="26"/>
          <w:rtl w:val="0"/>
        </w:rPr>
        <w:t xml:space="preserve"> and </w:t>
      </w:r>
      <w:r w:rsidDel="00000000" w:rsidR="00000000" w:rsidRPr="00000000">
        <w:rPr>
          <w:b w:val="1"/>
          <w:bCs w:val="1"/>
          <w:sz w:val="26"/>
          <w:szCs w:val="26"/>
          <w:rtl w:val="0"/>
        </w:rPr>
        <w:t xml:space="preserve">procedural propriety</w:t>
      </w:r>
      <w:r w:rsidDel="00000000" w:rsidR="00000000" w:rsidRPr="00000000">
        <w:rPr>
          <w:sz w:val="26"/>
          <w:szCs w:val="26"/>
          <w:rtl w:val="0"/>
        </w:rPr>
        <w:t xml:space="preserve">. From a regulatory perspective, it undermines the very Principle of upholding public trust and confidence in the profession and its regulator.</w:t>
      </w:r>
      <w:hyperlink r:id="rId10">
        <w:r w:rsidDel="00000000" w:rsidR="00000000" w:rsidRPr="00000000">
          <w:rPr>
            <w:sz w:val="26"/>
            <w:szCs w:val="26"/>
            <w:rtl w:val="0"/>
          </w:rPr>
          <w:t xml:space="preserve"> </w:t>
        </w:r>
      </w:hyperlink>
      <w:hyperlink r:id="rId11">
        <w:r w:rsidDel="00000000" w:rsidR="00000000" w:rsidRPr="00000000">
          <w:rPr>
            <w:color w:val="1155cc"/>
            <w:sz w:val="26"/>
            <w:szCs w:val="26"/>
            <w:u w:val="single"/>
            <w:rtl w:val="0"/>
          </w:rPr>
          <w:t xml:space="preserve">Solicitors Regulation Authority</w:t>
        </w:r>
      </w:hyperlink>
      <w:r w:rsidDel="00000000" w:rsidR="00000000" w:rsidRPr="00000000">
        <w:rPr>
          <w:rtl w:val="0"/>
        </w:rPr>
      </w:r>
    </w:p>
    <w:p w:rsidR="00000000" w:rsidDel="00000000" w:rsidP="00000000" w:rsidRDefault="00000000" w:rsidRPr="00000000" w14:paraId="00000019">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A">
      <w:pPr>
        <w:pStyle w:val="Heading2"/>
        <w:keepNext w:val="0"/>
        <w:keepLines w:val="0"/>
        <w:spacing w:after="80" w:lineRule="auto"/>
        <w:rPr>
          <w:b w:val="1"/>
          <w:bCs w:val="1"/>
          <w:sz w:val="38"/>
          <w:szCs w:val="38"/>
        </w:rPr>
      </w:pPr>
      <w:bookmarkStart w:colFirst="0" w:colLast="0" w:name="_e5tvxlaksiaq" w:id="3"/>
      <w:bookmarkEnd w:id="3"/>
      <w:r w:rsidDel="00000000" w:rsidR="00000000" w:rsidRPr="00000000">
        <w:rPr>
          <w:b w:val="1"/>
          <w:bCs w:val="1"/>
          <w:sz w:val="38"/>
          <w:szCs w:val="38"/>
          <w:rtl w:val="0"/>
        </w:rPr>
        <w:t xml:space="preserve">3. Concern 1 – Failure to disclose legal authority</w:t>
      </w:r>
    </w:p>
    <w:p w:rsidR="00000000" w:rsidDel="00000000" w:rsidP="00000000" w:rsidRDefault="00000000" w:rsidRPr="00000000" w14:paraId="0000001B">
      <w:pPr>
        <w:pStyle w:val="Heading3"/>
        <w:keepNext w:val="0"/>
        <w:keepLines w:val="0"/>
        <w:spacing w:before="280" w:lineRule="auto"/>
        <w:rPr>
          <w:b w:val="1"/>
          <w:bCs w:val="1"/>
          <w:color w:val="000000"/>
          <w:sz w:val="30"/>
          <w:szCs w:val="30"/>
        </w:rPr>
      </w:pPr>
      <w:bookmarkStart w:colFirst="0" w:colLast="0" w:name="_mvmdfa8dpia5" w:id="4"/>
      <w:bookmarkEnd w:id="4"/>
      <w:r w:rsidDel="00000000" w:rsidR="00000000" w:rsidRPr="00000000">
        <w:rPr>
          <w:b w:val="1"/>
          <w:bCs w:val="1"/>
          <w:color w:val="000000"/>
          <w:sz w:val="30"/>
          <w:szCs w:val="30"/>
          <w:rtl w:val="0"/>
        </w:rPr>
        <w:t xml:space="preserve">3.1. Mischaracterisation of the evidential problem</w:t>
      </w:r>
    </w:p>
    <w:p w:rsidR="00000000" w:rsidDel="00000000" w:rsidP="00000000" w:rsidRDefault="00000000" w:rsidRPr="00000000" w14:paraId="0000001C">
      <w:pPr>
        <w:spacing w:after="240" w:before="240" w:lineRule="auto"/>
        <w:rPr>
          <w:sz w:val="26"/>
          <w:szCs w:val="26"/>
        </w:rPr>
      </w:pPr>
      <w:r w:rsidDel="00000000" w:rsidR="00000000" w:rsidRPr="00000000">
        <w:rPr>
          <w:sz w:val="26"/>
          <w:szCs w:val="26"/>
          <w:rtl w:val="0"/>
        </w:rPr>
        <w:t xml:space="preserve">The SRA summarises the complaint as a failure to disclose Deed of Assignment, Power of Attorney, and original mortgage agreement, then records:</w:t>
      </w:r>
    </w:p>
    <w:p w:rsidR="00000000" w:rsidDel="00000000" w:rsidP="00000000" w:rsidRDefault="00000000" w:rsidRPr="00000000" w14:paraId="0000001D">
      <w:pPr>
        <w:spacing w:after="240" w:before="240" w:lineRule="auto"/>
        <w:ind w:left="600" w:right="600" w:firstLine="0"/>
        <w:rPr>
          <w:sz w:val="26"/>
          <w:szCs w:val="26"/>
        </w:rPr>
      </w:pPr>
      <w:r w:rsidDel="00000000" w:rsidR="00000000" w:rsidRPr="00000000">
        <w:rPr>
          <w:sz w:val="26"/>
          <w:szCs w:val="26"/>
          <w:rtl w:val="0"/>
        </w:rPr>
        <w:t xml:space="preserve">“Information provided by the firm highlights its unawareness as to the existence of some of these documents. Additionally, no conclusive evidence has been provided that suggests the firm wrongfully or deliberately withheld documentation in an attempt to mislead.”</w:t>
      </w:r>
    </w:p>
    <w:p w:rsidR="00000000" w:rsidDel="00000000" w:rsidP="00000000" w:rsidRDefault="00000000" w:rsidRPr="00000000" w14:paraId="0000001E">
      <w:pPr>
        <w:spacing w:after="240" w:before="240" w:lineRule="auto"/>
        <w:rPr>
          <w:sz w:val="26"/>
          <w:szCs w:val="26"/>
        </w:rPr>
      </w:pPr>
      <w:r w:rsidDel="00000000" w:rsidR="00000000" w:rsidRPr="00000000">
        <w:rPr>
          <w:sz w:val="26"/>
          <w:szCs w:val="26"/>
          <w:rtl w:val="0"/>
        </w:rPr>
        <w:t xml:space="preserve">In the Brentford transcript, your submission is clear:</w:t>
      </w:r>
    </w:p>
    <w:p w:rsidR="00000000" w:rsidDel="00000000" w:rsidP="00000000" w:rsidRDefault="00000000" w:rsidRPr="00000000" w14:paraId="0000001F">
      <w:pPr>
        <w:spacing w:after="240" w:before="240" w:lineRule="auto"/>
        <w:ind w:left="600" w:right="600" w:firstLine="0"/>
        <w:rPr>
          <w:sz w:val="26"/>
          <w:szCs w:val="26"/>
        </w:rPr>
      </w:pPr>
      <w:r w:rsidDel="00000000" w:rsidR="00000000" w:rsidRPr="00000000">
        <w:rPr>
          <w:sz w:val="26"/>
          <w:szCs w:val="26"/>
          <w:rtl w:val="0"/>
        </w:rPr>
        <w:t xml:space="preserve">“Documents concerning the agreement itself and the fee that - the mortgage payments. The mortgage payments and Deed of Assignment, which is very necessary…” (Transcript, p.8)</w:t>
      </w:r>
    </w:p>
    <w:p w:rsidR="00000000" w:rsidDel="00000000" w:rsidP="00000000" w:rsidRDefault="00000000" w:rsidRPr="00000000" w14:paraId="00000020">
      <w:pPr>
        <w:spacing w:after="240" w:before="240" w:lineRule="auto"/>
        <w:rPr>
          <w:sz w:val="26"/>
          <w:szCs w:val="26"/>
        </w:rPr>
      </w:pPr>
      <w:r w:rsidDel="00000000" w:rsidR="00000000" w:rsidRPr="00000000">
        <w:rPr>
          <w:sz w:val="26"/>
          <w:szCs w:val="26"/>
          <w:rtl w:val="0"/>
        </w:rPr>
        <w:t xml:space="preserve">These are not peripheral documents; they are the </w:t>
      </w:r>
      <w:r w:rsidDel="00000000" w:rsidR="00000000" w:rsidRPr="00000000">
        <w:rPr>
          <w:b w:val="1"/>
          <w:bCs w:val="1"/>
          <w:sz w:val="26"/>
          <w:szCs w:val="26"/>
          <w:rtl w:val="0"/>
        </w:rPr>
        <w:t xml:space="preserve">core instruments of title and authority</w:t>
      </w:r>
      <w:r w:rsidDel="00000000" w:rsidR="00000000" w:rsidRPr="00000000">
        <w:rPr>
          <w:sz w:val="26"/>
          <w:szCs w:val="26"/>
          <w:rtl w:val="0"/>
        </w:rPr>
        <w:t xml:space="preserve"> in a mortgage possession context. A firm litigating without knowing whether such documents exist, or where they are, is not in a neutral position. It is in a position where:</w:t>
      </w:r>
    </w:p>
    <w:p w:rsidR="00000000" w:rsidDel="00000000" w:rsidP="00000000" w:rsidRDefault="00000000" w:rsidRPr="00000000" w14:paraId="00000021">
      <w:pPr>
        <w:numPr>
          <w:ilvl w:val="0"/>
          <w:numId w:val="8"/>
        </w:numPr>
        <w:spacing w:after="0" w:afterAutospacing="0" w:before="240" w:lineRule="auto"/>
        <w:ind w:left="720" w:hanging="360"/>
        <w:rPr>
          <w:sz w:val="26"/>
          <w:szCs w:val="26"/>
        </w:rPr>
      </w:pPr>
      <w:r w:rsidDel="00000000" w:rsidR="00000000" w:rsidRPr="00000000">
        <w:rPr>
          <w:sz w:val="26"/>
          <w:szCs w:val="26"/>
          <w:rtl w:val="0"/>
        </w:rPr>
        <w:t xml:space="preserve">Its client’s standing is uncertain;</w:t>
      </w:r>
    </w:p>
    <w:p w:rsidR="00000000" w:rsidDel="00000000" w:rsidP="00000000" w:rsidRDefault="00000000" w:rsidRPr="00000000" w14:paraId="00000022">
      <w:pPr>
        <w:numPr>
          <w:ilvl w:val="0"/>
          <w:numId w:val="8"/>
        </w:numPr>
        <w:spacing w:after="0" w:afterAutospacing="0" w:before="0" w:beforeAutospacing="0" w:lineRule="auto"/>
        <w:ind w:left="720" w:hanging="360"/>
        <w:rPr>
          <w:sz w:val="26"/>
          <w:szCs w:val="26"/>
        </w:rPr>
      </w:pPr>
      <w:r w:rsidDel="00000000" w:rsidR="00000000" w:rsidRPr="00000000">
        <w:rPr>
          <w:sz w:val="26"/>
          <w:szCs w:val="26"/>
          <w:rtl w:val="0"/>
        </w:rPr>
        <w:t xml:space="preserve">Its own authority to act is uncertain;</w:t>
      </w:r>
    </w:p>
    <w:p w:rsidR="00000000" w:rsidDel="00000000" w:rsidP="00000000" w:rsidRDefault="00000000" w:rsidRPr="00000000" w14:paraId="00000023">
      <w:pPr>
        <w:numPr>
          <w:ilvl w:val="0"/>
          <w:numId w:val="8"/>
        </w:numPr>
        <w:spacing w:after="240" w:before="0" w:beforeAutospacing="0" w:lineRule="auto"/>
        <w:ind w:left="720" w:hanging="360"/>
        <w:rPr>
          <w:sz w:val="26"/>
          <w:szCs w:val="26"/>
        </w:rPr>
      </w:pPr>
      <w:r w:rsidDel="00000000" w:rsidR="00000000" w:rsidRPr="00000000">
        <w:rPr>
          <w:sz w:val="26"/>
          <w:szCs w:val="26"/>
          <w:rtl w:val="0"/>
        </w:rPr>
        <w:t xml:space="preserve">Its representations to the court and borrower are at least </w:t>
      </w:r>
      <w:r w:rsidDel="00000000" w:rsidR="00000000" w:rsidRPr="00000000">
        <w:rPr>
          <w:b w:val="1"/>
          <w:bCs w:val="1"/>
          <w:sz w:val="26"/>
          <w:szCs w:val="26"/>
          <w:rtl w:val="0"/>
        </w:rPr>
        <w:t xml:space="preserve">reckless</w:t>
      </w:r>
      <w:r w:rsidDel="00000000" w:rsidR="00000000" w:rsidRPr="00000000">
        <w:rPr>
          <w:sz w:val="26"/>
          <w:szCs w:val="26"/>
          <w:rtl w:val="0"/>
        </w:rPr>
        <w:t xml:space="preserve"> as to truth.</w:t>
      </w:r>
    </w:p>
    <w:p w:rsidR="00000000" w:rsidDel="00000000" w:rsidP="00000000" w:rsidRDefault="00000000" w:rsidRPr="00000000" w14:paraId="00000024">
      <w:pPr>
        <w:spacing w:after="240" w:before="240" w:lineRule="auto"/>
        <w:rPr>
          <w:color w:val="1155cc"/>
          <w:sz w:val="26"/>
          <w:szCs w:val="26"/>
          <w:u w:val="single"/>
        </w:rPr>
      </w:pPr>
      <w:r w:rsidDel="00000000" w:rsidR="00000000" w:rsidRPr="00000000">
        <w:rPr>
          <w:sz w:val="26"/>
          <w:szCs w:val="26"/>
          <w:rtl w:val="0"/>
        </w:rPr>
        <w:t xml:space="preserve">The SRA treats “unawareness” as exculpatory. Doctrinally, under para 1.4 (“you do not mislead anyone”), the prohibition is not confined to deliberate deceit; it extends to conduct that misleads or risks misleading, including reckless omissions.</w:t>
      </w:r>
      <w:hyperlink r:id="rId12">
        <w:r w:rsidDel="00000000" w:rsidR="00000000" w:rsidRPr="00000000">
          <w:rPr>
            <w:sz w:val="26"/>
            <w:szCs w:val="26"/>
            <w:rtl w:val="0"/>
          </w:rPr>
          <w:t xml:space="preserve"> </w:t>
        </w:r>
      </w:hyperlink>
      <w:hyperlink r:id="rId13">
        <w:r w:rsidDel="00000000" w:rsidR="00000000" w:rsidRPr="00000000">
          <w:rPr>
            <w:color w:val="1155cc"/>
            <w:sz w:val="26"/>
            <w:szCs w:val="26"/>
            <w:u w:val="single"/>
            <w:rtl w:val="0"/>
          </w:rPr>
          <w:t xml:space="preserve">rpclegal.com</w:t>
        </w:r>
      </w:hyperlink>
      <w:r w:rsidDel="00000000" w:rsidR="00000000" w:rsidRPr="00000000">
        <w:rPr>
          <w:rtl w:val="0"/>
        </w:rPr>
      </w:r>
    </w:p>
    <w:p w:rsidR="00000000" w:rsidDel="00000000" w:rsidP="00000000" w:rsidRDefault="00000000" w:rsidRPr="00000000" w14:paraId="00000025">
      <w:pPr>
        <w:pStyle w:val="Heading3"/>
        <w:keepNext w:val="0"/>
        <w:keepLines w:val="0"/>
        <w:spacing w:before="280" w:lineRule="auto"/>
        <w:rPr>
          <w:b w:val="1"/>
          <w:bCs w:val="1"/>
          <w:color w:val="000000"/>
          <w:sz w:val="30"/>
          <w:szCs w:val="30"/>
        </w:rPr>
      </w:pPr>
      <w:bookmarkStart w:colFirst="0" w:colLast="0" w:name="_xpup5ybyo1kr" w:id="5"/>
      <w:bookmarkEnd w:id="5"/>
      <w:r w:rsidDel="00000000" w:rsidR="00000000" w:rsidRPr="00000000">
        <w:rPr>
          <w:b w:val="1"/>
          <w:bCs w:val="1"/>
          <w:color w:val="000000"/>
          <w:sz w:val="30"/>
          <w:szCs w:val="30"/>
          <w:rtl w:val="0"/>
        </w:rPr>
        <w:t xml:space="preserve">3.2. Wrong legal test under para 1.4</w:t>
      </w:r>
    </w:p>
    <w:p w:rsidR="00000000" w:rsidDel="00000000" w:rsidP="00000000" w:rsidRDefault="00000000" w:rsidRPr="00000000" w14:paraId="00000026">
      <w:pPr>
        <w:spacing w:after="240" w:before="240" w:lineRule="auto"/>
        <w:rPr>
          <w:color w:val="1155cc"/>
          <w:sz w:val="26"/>
          <w:szCs w:val="26"/>
          <w:u w:val="single"/>
        </w:rPr>
      </w:pPr>
      <w:r w:rsidDel="00000000" w:rsidR="00000000" w:rsidRPr="00000000">
        <w:rPr>
          <w:sz w:val="26"/>
          <w:szCs w:val="26"/>
          <w:rtl w:val="0"/>
        </w:rPr>
        <w:t xml:space="preserve">The decision’s focus on “deliberate” withholding “in an attempt to mislead” imports a mens rea threshold that the Code does not require. The modern SRA regime moved away from detailed outcomes and indicative behaviours precisely because the Principles and core rules are meant to capture a broader spectrum of conduct that undermines trust, integrity, and the rule of law.</w:t>
      </w:r>
      <w:hyperlink r:id="rId14">
        <w:r w:rsidDel="00000000" w:rsidR="00000000" w:rsidRPr="00000000">
          <w:rPr>
            <w:sz w:val="26"/>
            <w:szCs w:val="26"/>
            <w:rtl w:val="0"/>
          </w:rPr>
          <w:t xml:space="preserve"> </w:t>
        </w:r>
      </w:hyperlink>
      <w:hyperlink r:id="rId15">
        <w:r w:rsidDel="00000000" w:rsidR="00000000" w:rsidRPr="00000000">
          <w:rPr>
            <w:color w:val="1155cc"/>
            <w:sz w:val="26"/>
            <w:szCs w:val="26"/>
            <w:u w:val="single"/>
            <w:rtl w:val="0"/>
          </w:rPr>
          <w:t xml:space="preserve">Lockton Solicitors</w:t>
        </w:r>
      </w:hyperlink>
      <w:r w:rsidDel="00000000" w:rsidR="00000000" w:rsidRPr="00000000">
        <w:rPr>
          <w:rtl w:val="0"/>
        </w:rPr>
      </w:r>
    </w:p>
    <w:p w:rsidR="00000000" w:rsidDel="00000000" w:rsidP="00000000" w:rsidRDefault="00000000" w:rsidRPr="00000000" w14:paraId="00000027">
      <w:pPr>
        <w:spacing w:after="240" w:before="240" w:lineRule="auto"/>
        <w:rPr>
          <w:sz w:val="26"/>
          <w:szCs w:val="26"/>
        </w:rPr>
      </w:pPr>
      <w:r w:rsidDel="00000000" w:rsidR="00000000" w:rsidRPr="00000000">
        <w:rPr>
          <w:sz w:val="26"/>
          <w:szCs w:val="26"/>
          <w:rtl w:val="0"/>
        </w:rPr>
        <w:t xml:space="preserve">Here, the pattern is:</w:t>
      </w:r>
    </w:p>
    <w:p w:rsidR="00000000" w:rsidDel="00000000" w:rsidP="00000000" w:rsidRDefault="00000000" w:rsidRPr="00000000" w14:paraId="00000028">
      <w:pPr>
        <w:numPr>
          <w:ilvl w:val="0"/>
          <w:numId w:val="15"/>
        </w:numPr>
        <w:spacing w:after="0" w:afterAutospacing="0" w:before="240" w:lineRule="auto"/>
        <w:ind w:left="720" w:hanging="360"/>
        <w:rPr>
          <w:sz w:val="26"/>
          <w:szCs w:val="26"/>
        </w:rPr>
      </w:pPr>
      <w:r w:rsidDel="00000000" w:rsidR="00000000" w:rsidRPr="00000000">
        <w:rPr>
          <w:sz w:val="26"/>
          <w:szCs w:val="26"/>
          <w:rtl w:val="0"/>
        </w:rPr>
        <w:t xml:space="preserve">Persistent refusal/inability to produce authority documents.</w:t>
      </w:r>
    </w:p>
    <w:p w:rsidR="00000000" w:rsidDel="00000000" w:rsidP="00000000" w:rsidRDefault="00000000" w:rsidRPr="00000000" w14:paraId="00000029">
      <w:pPr>
        <w:numPr>
          <w:ilvl w:val="0"/>
          <w:numId w:val="15"/>
        </w:numPr>
        <w:spacing w:after="0" w:afterAutospacing="0" w:before="0" w:beforeAutospacing="0" w:lineRule="auto"/>
        <w:ind w:left="720" w:hanging="360"/>
        <w:rPr>
          <w:sz w:val="26"/>
          <w:szCs w:val="26"/>
        </w:rPr>
      </w:pPr>
      <w:r w:rsidDel="00000000" w:rsidR="00000000" w:rsidRPr="00000000">
        <w:rPr>
          <w:sz w:val="26"/>
          <w:szCs w:val="26"/>
          <w:rtl w:val="0"/>
        </w:rPr>
        <w:t xml:space="preserve">Counsel’s admission: “I do not have any instructions in that respect, but what I can say is any relevant documentation would have been disclosed at the time…” (Transcript, p.11).</w:t>
      </w:r>
    </w:p>
    <w:p w:rsidR="00000000" w:rsidDel="00000000" w:rsidP="00000000" w:rsidRDefault="00000000" w:rsidRPr="00000000" w14:paraId="0000002A">
      <w:pPr>
        <w:numPr>
          <w:ilvl w:val="0"/>
          <w:numId w:val="15"/>
        </w:numPr>
        <w:spacing w:after="240" w:before="0" w:beforeAutospacing="0" w:lineRule="auto"/>
        <w:ind w:left="720" w:hanging="360"/>
        <w:rPr>
          <w:sz w:val="26"/>
          <w:szCs w:val="26"/>
        </w:rPr>
      </w:pPr>
      <w:r w:rsidDel="00000000" w:rsidR="00000000" w:rsidRPr="00000000">
        <w:rPr>
          <w:sz w:val="26"/>
          <w:szCs w:val="26"/>
          <w:rtl w:val="0"/>
        </w:rPr>
        <w:t xml:space="preserve">Reliance on an historic possession order whose validity has never been tested against standing.</w:t>
      </w:r>
    </w:p>
    <w:p w:rsidR="00000000" w:rsidDel="00000000" w:rsidP="00000000" w:rsidRDefault="00000000" w:rsidRPr="00000000" w14:paraId="0000002B">
      <w:pPr>
        <w:spacing w:after="240" w:before="240" w:lineRule="auto"/>
        <w:rPr>
          <w:sz w:val="26"/>
          <w:szCs w:val="26"/>
        </w:rPr>
      </w:pPr>
      <w:r w:rsidDel="00000000" w:rsidR="00000000" w:rsidRPr="00000000">
        <w:rPr>
          <w:sz w:val="26"/>
          <w:szCs w:val="26"/>
          <w:rtl w:val="0"/>
        </w:rPr>
        <w:t xml:space="preserve">On any doctrinal reading, that is at least </w:t>
      </w:r>
      <w:r w:rsidDel="00000000" w:rsidR="00000000" w:rsidRPr="00000000">
        <w:rPr>
          <w:b w:val="1"/>
          <w:bCs w:val="1"/>
          <w:sz w:val="26"/>
          <w:szCs w:val="26"/>
          <w:rtl w:val="0"/>
        </w:rPr>
        <w:t xml:space="preserve">capable</w:t>
      </w:r>
      <w:r w:rsidDel="00000000" w:rsidR="00000000" w:rsidRPr="00000000">
        <w:rPr>
          <w:sz w:val="26"/>
          <w:szCs w:val="26"/>
          <w:rtl w:val="0"/>
        </w:rPr>
        <w:t xml:space="preserve"> of amounting to a breach of para 1.4 and the Principles. The Assessment Threshold Test should have been triggered; instead, the SRA uses the absence of “conclusive evidence” as a reason not to look.</w:t>
      </w:r>
    </w:p>
    <w:p w:rsidR="00000000" w:rsidDel="00000000" w:rsidP="00000000" w:rsidRDefault="00000000" w:rsidRPr="00000000" w14:paraId="0000002C">
      <w:pPr>
        <w:pStyle w:val="Heading3"/>
        <w:keepNext w:val="0"/>
        <w:keepLines w:val="0"/>
        <w:spacing w:before="280" w:lineRule="auto"/>
        <w:rPr>
          <w:b w:val="1"/>
          <w:bCs w:val="1"/>
          <w:color w:val="000000"/>
          <w:sz w:val="30"/>
          <w:szCs w:val="30"/>
        </w:rPr>
      </w:pPr>
      <w:bookmarkStart w:colFirst="0" w:colLast="0" w:name="_2h82yrireor2" w:id="6"/>
      <w:bookmarkEnd w:id="6"/>
      <w:r w:rsidDel="00000000" w:rsidR="00000000" w:rsidRPr="00000000">
        <w:rPr>
          <w:b w:val="1"/>
          <w:bCs w:val="1"/>
          <w:color w:val="000000"/>
          <w:sz w:val="30"/>
          <w:szCs w:val="30"/>
          <w:rtl w:val="0"/>
        </w:rPr>
        <w:t xml:space="preserve">3.3. Misuse of the court process as a shield</w:t>
      </w:r>
    </w:p>
    <w:p w:rsidR="00000000" w:rsidDel="00000000" w:rsidP="00000000" w:rsidRDefault="00000000" w:rsidRPr="00000000" w14:paraId="0000002D">
      <w:pPr>
        <w:spacing w:after="240" w:before="240" w:lineRule="auto"/>
        <w:rPr>
          <w:sz w:val="26"/>
          <w:szCs w:val="26"/>
        </w:rPr>
      </w:pPr>
      <w:r w:rsidDel="00000000" w:rsidR="00000000" w:rsidRPr="00000000">
        <w:rPr>
          <w:sz w:val="26"/>
          <w:szCs w:val="26"/>
          <w:rtl w:val="0"/>
        </w:rPr>
        <w:t xml:space="preserve">The SRA notes that the concern could be brought before the court and uses that as a reason to stand back. The transcript shows what actually happened:</w:t>
      </w:r>
    </w:p>
    <w:p w:rsidR="00000000" w:rsidDel="00000000" w:rsidP="00000000" w:rsidRDefault="00000000" w:rsidRPr="00000000" w14:paraId="0000002E">
      <w:pPr>
        <w:spacing w:after="240" w:before="240" w:lineRule="auto"/>
        <w:ind w:left="600" w:right="600" w:firstLine="0"/>
        <w:rPr>
          <w:sz w:val="26"/>
          <w:szCs w:val="26"/>
        </w:rPr>
      </w:pPr>
      <w:r w:rsidDel="00000000" w:rsidR="00000000" w:rsidRPr="00000000">
        <w:rPr>
          <w:sz w:val="26"/>
          <w:szCs w:val="26"/>
          <w:rtl w:val="0"/>
        </w:rPr>
        <w:t xml:space="preserve">“It does not follow the CPR, it does not set out properly what needs to be set out. The court is not here to remedy and make applications better…” (Transcript, p.10)</w:t>
      </w:r>
    </w:p>
    <w:p w:rsidR="00000000" w:rsidDel="00000000" w:rsidP="00000000" w:rsidRDefault="00000000" w:rsidRPr="00000000" w14:paraId="0000002F">
      <w:pPr>
        <w:spacing w:after="240" w:before="240" w:lineRule="auto"/>
        <w:rPr>
          <w:sz w:val="26"/>
          <w:szCs w:val="26"/>
        </w:rPr>
      </w:pPr>
      <w:r w:rsidDel="00000000" w:rsidR="00000000" w:rsidRPr="00000000">
        <w:rPr>
          <w:sz w:val="26"/>
          <w:szCs w:val="26"/>
          <w:rtl w:val="0"/>
        </w:rPr>
        <w:t xml:space="preserve">The judge refused the disclosure application on </w:t>
      </w:r>
      <w:r w:rsidDel="00000000" w:rsidR="00000000" w:rsidRPr="00000000">
        <w:rPr>
          <w:b w:val="1"/>
          <w:bCs w:val="1"/>
          <w:sz w:val="26"/>
          <w:szCs w:val="26"/>
          <w:rtl w:val="0"/>
        </w:rPr>
        <w:t xml:space="preserve">technical CPR 31.16 grounds</w:t>
      </w:r>
      <w:r w:rsidDel="00000000" w:rsidR="00000000" w:rsidRPr="00000000">
        <w:rPr>
          <w:sz w:val="26"/>
          <w:szCs w:val="26"/>
          <w:rtl w:val="0"/>
        </w:rPr>
        <w:t xml:space="preserve">, not because the underlying concern lacked merit. The court did not:</w:t>
      </w:r>
    </w:p>
    <w:p w:rsidR="00000000" w:rsidDel="00000000" w:rsidP="00000000" w:rsidRDefault="00000000" w:rsidRPr="00000000" w14:paraId="00000030">
      <w:pPr>
        <w:numPr>
          <w:ilvl w:val="0"/>
          <w:numId w:val="12"/>
        </w:numPr>
        <w:spacing w:after="0" w:afterAutospacing="0" w:before="240" w:lineRule="auto"/>
        <w:ind w:left="720" w:hanging="360"/>
        <w:rPr>
          <w:sz w:val="26"/>
          <w:szCs w:val="26"/>
        </w:rPr>
      </w:pPr>
      <w:r w:rsidDel="00000000" w:rsidR="00000000" w:rsidRPr="00000000">
        <w:rPr>
          <w:sz w:val="26"/>
          <w:szCs w:val="26"/>
          <w:rtl w:val="0"/>
        </w:rPr>
        <w:t xml:space="preserve">Examine the Deed of Assignment;</w:t>
      </w:r>
    </w:p>
    <w:p w:rsidR="00000000" w:rsidDel="00000000" w:rsidP="00000000" w:rsidRDefault="00000000" w:rsidRPr="00000000" w14:paraId="00000031">
      <w:pPr>
        <w:numPr>
          <w:ilvl w:val="0"/>
          <w:numId w:val="12"/>
        </w:numPr>
        <w:spacing w:after="0" w:afterAutospacing="0" w:before="0" w:beforeAutospacing="0" w:lineRule="auto"/>
        <w:ind w:left="720" w:hanging="360"/>
        <w:rPr>
          <w:sz w:val="26"/>
          <w:szCs w:val="26"/>
        </w:rPr>
      </w:pPr>
      <w:r w:rsidDel="00000000" w:rsidR="00000000" w:rsidRPr="00000000">
        <w:rPr>
          <w:sz w:val="26"/>
          <w:szCs w:val="26"/>
          <w:rtl w:val="0"/>
        </w:rPr>
        <w:t xml:space="preserve">Examine any Power of Attorney;</w:t>
      </w:r>
    </w:p>
    <w:p w:rsidR="00000000" w:rsidDel="00000000" w:rsidP="00000000" w:rsidRDefault="00000000" w:rsidRPr="00000000" w14:paraId="00000032">
      <w:pPr>
        <w:numPr>
          <w:ilvl w:val="0"/>
          <w:numId w:val="12"/>
        </w:numPr>
        <w:spacing w:after="240" w:before="0" w:beforeAutospacing="0" w:lineRule="auto"/>
        <w:ind w:left="720" w:hanging="360"/>
        <w:rPr>
          <w:sz w:val="26"/>
          <w:szCs w:val="26"/>
        </w:rPr>
      </w:pPr>
      <w:r w:rsidDel="00000000" w:rsidR="00000000" w:rsidRPr="00000000">
        <w:rPr>
          <w:sz w:val="26"/>
          <w:szCs w:val="26"/>
          <w:rtl w:val="0"/>
        </w:rPr>
        <w:t xml:space="preserve">Determine that the firm had authority.</w:t>
      </w:r>
    </w:p>
    <w:p w:rsidR="00000000" w:rsidDel="00000000" w:rsidP="00000000" w:rsidRDefault="00000000" w:rsidRPr="00000000" w14:paraId="00000033">
      <w:pPr>
        <w:spacing w:after="240" w:before="240" w:lineRule="auto"/>
        <w:rPr>
          <w:sz w:val="26"/>
          <w:szCs w:val="26"/>
        </w:rPr>
      </w:pPr>
      <w:r w:rsidDel="00000000" w:rsidR="00000000" w:rsidRPr="00000000">
        <w:rPr>
          <w:sz w:val="26"/>
          <w:szCs w:val="26"/>
          <w:rtl w:val="0"/>
        </w:rPr>
        <w:t xml:space="preserve">Doctrinally, a regulator cannot rely on “the court will deal with it” when the court has expressly declined to reach the substance. That is a failure to exercise independent regulatory judgment.</w:t>
      </w:r>
    </w:p>
    <w:p w:rsidR="00000000" w:rsidDel="00000000" w:rsidP="00000000" w:rsidRDefault="00000000" w:rsidRPr="00000000" w14:paraId="00000034">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pStyle w:val="Heading2"/>
        <w:keepNext w:val="0"/>
        <w:keepLines w:val="0"/>
        <w:spacing w:after="80" w:lineRule="auto"/>
        <w:rPr>
          <w:b w:val="1"/>
          <w:bCs w:val="1"/>
          <w:sz w:val="38"/>
          <w:szCs w:val="38"/>
        </w:rPr>
      </w:pPr>
      <w:bookmarkStart w:colFirst="0" w:colLast="0" w:name="_b485ef6555mh" w:id="7"/>
      <w:bookmarkEnd w:id="7"/>
      <w:r w:rsidDel="00000000" w:rsidR="00000000" w:rsidRPr="00000000">
        <w:rPr>
          <w:b w:val="1"/>
          <w:bCs w:val="1"/>
          <w:sz w:val="38"/>
          <w:szCs w:val="38"/>
          <w:rtl w:val="0"/>
        </w:rPr>
        <w:t xml:space="preserve">4. Concern 2 – Eviction without standing</w:t>
      </w:r>
    </w:p>
    <w:p w:rsidR="00000000" w:rsidDel="00000000" w:rsidP="00000000" w:rsidRDefault="00000000" w:rsidRPr="00000000" w14:paraId="00000036">
      <w:pPr>
        <w:pStyle w:val="Heading3"/>
        <w:keepNext w:val="0"/>
        <w:keepLines w:val="0"/>
        <w:spacing w:before="280" w:lineRule="auto"/>
        <w:rPr>
          <w:b w:val="1"/>
          <w:bCs w:val="1"/>
          <w:color w:val="000000"/>
          <w:sz w:val="30"/>
          <w:szCs w:val="30"/>
        </w:rPr>
      </w:pPr>
      <w:bookmarkStart w:colFirst="0" w:colLast="0" w:name="_ndnlm4b8zpaj" w:id="8"/>
      <w:bookmarkEnd w:id="8"/>
      <w:r w:rsidDel="00000000" w:rsidR="00000000" w:rsidRPr="00000000">
        <w:rPr>
          <w:b w:val="1"/>
          <w:bCs w:val="1"/>
          <w:color w:val="000000"/>
          <w:sz w:val="30"/>
          <w:szCs w:val="30"/>
          <w:rtl w:val="0"/>
        </w:rPr>
        <w:t xml:space="preserve">4.1. False jurisdictional boundary</w:t>
      </w:r>
    </w:p>
    <w:p w:rsidR="00000000" w:rsidDel="00000000" w:rsidP="00000000" w:rsidRDefault="00000000" w:rsidRPr="00000000" w14:paraId="00000037">
      <w:pPr>
        <w:spacing w:after="240" w:before="240" w:lineRule="auto"/>
        <w:rPr>
          <w:sz w:val="26"/>
          <w:szCs w:val="26"/>
        </w:rPr>
      </w:pPr>
      <w:r w:rsidDel="00000000" w:rsidR="00000000" w:rsidRPr="00000000">
        <w:rPr>
          <w:sz w:val="26"/>
          <w:szCs w:val="26"/>
          <w:rtl w:val="0"/>
        </w:rPr>
        <w:t xml:space="preserve">The SRA states:</w:t>
      </w:r>
    </w:p>
    <w:p w:rsidR="00000000" w:rsidDel="00000000" w:rsidP="00000000" w:rsidRDefault="00000000" w:rsidRPr="00000000" w14:paraId="00000038">
      <w:pPr>
        <w:spacing w:after="240" w:before="240" w:lineRule="auto"/>
        <w:ind w:left="600" w:right="600" w:firstLine="0"/>
        <w:rPr>
          <w:sz w:val="26"/>
          <w:szCs w:val="26"/>
        </w:rPr>
      </w:pPr>
      <w:r w:rsidDel="00000000" w:rsidR="00000000" w:rsidRPr="00000000">
        <w:rPr>
          <w:sz w:val="26"/>
          <w:szCs w:val="26"/>
          <w:rtl w:val="0"/>
        </w:rPr>
        <w:t xml:space="preserve">“The legal standing of an attempt for eviction is a matter for the courts to decide and is beyond the regulatory authority of the SRA to investigate.”</w:t>
      </w:r>
    </w:p>
    <w:p w:rsidR="00000000" w:rsidDel="00000000" w:rsidP="00000000" w:rsidRDefault="00000000" w:rsidRPr="00000000" w14:paraId="00000039">
      <w:pPr>
        <w:spacing w:after="240" w:before="240" w:lineRule="auto"/>
        <w:rPr>
          <w:sz w:val="26"/>
          <w:szCs w:val="26"/>
        </w:rPr>
      </w:pPr>
      <w:r w:rsidDel="00000000" w:rsidR="00000000" w:rsidRPr="00000000">
        <w:rPr>
          <w:sz w:val="26"/>
          <w:szCs w:val="26"/>
          <w:rtl w:val="0"/>
        </w:rPr>
        <w:t xml:space="preserve">That is doctrinally unsustainable. Standing is both:</w:t>
      </w:r>
    </w:p>
    <w:p w:rsidR="00000000" w:rsidDel="00000000" w:rsidP="00000000" w:rsidRDefault="00000000" w:rsidRPr="00000000" w14:paraId="0000003A">
      <w:pPr>
        <w:numPr>
          <w:ilvl w:val="0"/>
          <w:numId w:val="17"/>
        </w:numPr>
        <w:spacing w:after="0" w:afterAutospacing="0" w:before="240" w:lineRule="auto"/>
        <w:ind w:left="720" w:hanging="360"/>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judicial</w:t>
      </w:r>
      <w:r w:rsidDel="00000000" w:rsidR="00000000" w:rsidRPr="00000000">
        <w:rPr>
          <w:sz w:val="26"/>
          <w:szCs w:val="26"/>
          <w:rtl w:val="0"/>
        </w:rPr>
        <w:t xml:space="preserve"> question (for the validity of the particular order); and</w:t>
      </w:r>
    </w:p>
    <w:p w:rsidR="00000000" w:rsidDel="00000000" w:rsidP="00000000" w:rsidRDefault="00000000" w:rsidRPr="00000000" w14:paraId="0000003B">
      <w:pPr>
        <w:numPr>
          <w:ilvl w:val="0"/>
          <w:numId w:val="17"/>
        </w:numPr>
        <w:spacing w:after="240" w:before="0" w:beforeAutospacing="0" w:lineRule="auto"/>
        <w:ind w:left="720" w:hanging="360"/>
        <w:rPr>
          <w:sz w:val="26"/>
          <w:szCs w:val="26"/>
        </w:rPr>
      </w:pPr>
      <w:r w:rsidDel="00000000" w:rsidR="00000000" w:rsidRPr="00000000">
        <w:rPr>
          <w:sz w:val="26"/>
          <w:szCs w:val="26"/>
          <w:rtl w:val="0"/>
        </w:rPr>
        <w:t xml:space="preserve">A </w:t>
      </w:r>
      <w:r w:rsidDel="00000000" w:rsidR="00000000" w:rsidRPr="00000000">
        <w:rPr>
          <w:b w:val="1"/>
          <w:bCs w:val="1"/>
          <w:sz w:val="26"/>
          <w:szCs w:val="26"/>
          <w:rtl w:val="0"/>
        </w:rPr>
        <w:t xml:space="preserve">regulatory</w:t>
      </w:r>
      <w:r w:rsidDel="00000000" w:rsidR="00000000" w:rsidRPr="00000000">
        <w:rPr>
          <w:sz w:val="26"/>
          <w:szCs w:val="26"/>
          <w:rtl w:val="0"/>
        </w:rPr>
        <w:t xml:space="preserve"> question (for whether a firm has misused the court process, misled the court, or acted without proper authority).</w:t>
      </w:r>
    </w:p>
    <w:p w:rsidR="00000000" w:rsidDel="00000000" w:rsidP="00000000" w:rsidRDefault="00000000" w:rsidRPr="00000000" w14:paraId="0000003C">
      <w:pPr>
        <w:spacing w:after="240" w:before="240" w:lineRule="auto"/>
        <w:rPr>
          <w:sz w:val="26"/>
          <w:szCs w:val="26"/>
        </w:rPr>
      </w:pPr>
      <w:r w:rsidDel="00000000" w:rsidR="00000000" w:rsidRPr="00000000">
        <w:rPr>
          <w:sz w:val="26"/>
          <w:szCs w:val="26"/>
          <w:rtl w:val="0"/>
        </w:rPr>
        <w:t xml:space="preserve">The SRA’s own Principles require solicitors and firms to uphold the rule of law and the proper administration of justice, and to act in a way that maintains public trust and confidence.</w:t>
      </w:r>
      <w:hyperlink r:id="rId16">
        <w:r w:rsidDel="00000000" w:rsidR="00000000" w:rsidRPr="00000000">
          <w:rPr>
            <w:sz w:val="26"/>
            <w:szCs w:val="26"/>
            <w:rtl w:val="0"/>
          </w:rPr>
          <w:t xml:space="preserve"> </w:t>
        </w:r>
      </w:hyperlink>
      <w:hyperlink r:id="rId17">
        <w:r w:rsidDel="00000000" w:rsidR="00000000" w:rsidRPr="00000000">
          <w:rPr>
            <w:color w:val="1155cc"/>
            <w:sz w:val="26"/>
            <w:szCs w:val="26"/>
            <w:u w:val="single"/>
            <w:rtl w:val="0"/>
          </w:rPr>
          <w:t xml:space="preserve">Solicitors Regulation Authority</w:t>
        </w:r>
      </w:hyperlink>
      <w:r w:rsidDel="00000000" w:rsidR="00000000" w:rsidRPr="00000000">
        <w:rPr>
          <w:sz w:val="26"/>
          <w:szCs w:val="26"/>
          <w:rtl w:val="0"/>
        </w:rPr>
        <w:t xml:space="preserve"> A firm that pursues possession and eviction without being able to evidence its client’s title is, at minimum, </w:t>
      </w:r>
      <w:r w:rsidDel="00000000" w:rsidR="00000000" w:rsidRPr="00000000">
        <w:rPr>
          <w:b w:val="1"/>
          <w:bCs w:val="1"/>
          <w:sz w:val="26"/>
          <w:szCs w:val="26"/>
          <w:rtl w:val="0"/>
        </w:rPr>
        <w:t xml:space="preserve">capable</w:t>
      </w:r>
      <w:r w:rsidDel="00000000" w:rsidR="00000000" w:rsidRPr="00000000">
        <w:rPr>
          <w:sz w:val="26"/>
          <w:szCs w:val="26"/>
          <w:rtl w:val="0"/>
        </w:rPr>
        <w:t xml:space="preserve"> of breaching those Principles.</w:t>
      </w:r>
    </w:p>
    <w:p w:rsidR="00000000" w:rsidDel="00000000" w:rsidP="00000000" w:rsidRDefault="00000000" w:rsidRPr="00000000" w14:paraId="0000003D">
      <w:pPr>
        <w:spacing w:after="240" w:before="240" w:lineRule="auto"/>
        <w:rPr>
          <w:sz w:val="26"/>
          <w:szCs w:val="26"/>
        </w:rPr>
      </w:pPr>
      <w:r w:rsidDel="00000000" w:rsidR="00000000" w:rsidRPr="00000000">
        <w:rPr>
          <w:sz w:val="26"/>
          <w:szCs w:val="26"/>
          <w:rtl w:val="0"/>
        </w:rPr>
        <w:t xml:space="preserve">In the transcript, you crystallise the issue:</w:t>
      </w:r>
    </w:p>
    <w:p w:rsidR="00000000" w:rsidDel="00000000" w:rsidP="00000000" w:rsidRDefault="00000000" w:rsidRPr="00000000" w14:paraId="0000003E">
      <w:pPr>
        <w:spacing w:after="240" w:before="240" w:lineRule="auto"/>
        <w:ind w:left="600" w:right="600" w:firstLine="0"/>
        <w:rPr>
          <w:sz w:val="26"/>
          <w:szCs w:val="26"/>
        </w:rPr>
      </w:pPr>
      <w:r w:rsidDel="00000000" w:rsidR="00000000" w:rsidRPr="00000000">
        <w:rPr>
          <w:sz w:val="26"/>
          <w:szCs w:val="26"/>
          <w:rtl w:val="0"/>
        </w:rPr>
        <w:t xml:space="preserve">“The named complainant is not the proper representative of the contract that was signed…” (Transcript, p.9)</w:t>
      </w:r>
    </w:p>
    <w:p w:rsidR="00000000" w:rsidDel="00000000" w:rsidP="00000000" w:rsidRDefault="00000000" w:rsidRPr="00000000" w14:paraId="0000003F">
      <w:pPr>
        <w:spacing w:after="240" w:before="240" w:lineRule="auto"/>
        <w:rPr>
          <w:sz w:val="26"/>
          <w:szCs w:val="26"/>
        </w:rPr>
      </w:pPr>
      <w:r w:rsidDel="00000000" w:rsidR="00000000" w:rsidRPr="00000000">
        <w:rPr>
          <w:sz w:val="26"/>
          <w:szCs w:val="26"/>
          <w:rtl w:val="0"/>
        </w:rPr>
        <w:t xml:space="preserve">The judge recognises that this goes to the earlier order:</w:t>
      </w:r>
    </w:p>
    <w:p w:rsidR="00000000" w:rsidDel="00000000" w:rsidP="00000000" w:rsidRDefault="00000000" w:rsidRPr="00000000" w14:paraId="00000040">
      <w:pPr>
        <w:spacing w:after="240" w:before="240" w:lineRule="auto"/>
        <w:ind w:left="600" w:right="600" w:firstLine="0"/>
        <w:rPr>
          <w:sz w:val="26"/>
          <w:szCs w:val="26"/>
        </w:rPr>
      </w:pPr>
      <w:r w:rsidDel="00000000" w:rsidR="00000000" w:rsidRPr="00000000">
        <w:rPr>
          <w:sz w:val="26"/>
          <w:szCs w:val="26"/>
          <w:rtl w:val="0"/>
        </w:rPr>
        <w:t xml:space="preserve">“So what is the suggestion, that there is going to be some sort of challenge to that previous order?” (Transcript, p.9)</w:t>
      </w:r>
    </w:p>
    <w:p w:rsidR="00000000" w:rsidDel="00000000" w:rsidP="00000000" w:rsidRDefault="00000000" w:rsidRPr="00000000" w14:paraId="00000041">
      <w:pPr>
        <w:spacing w:after="240" w:before="240" w:lineRule="auto"/>
        <w:rPr>
          <w:sz w:val="26"/>
          <w:szCs w:val="26"/>
        </w:rPr>
      </w:pPr>
      <w:r w:rsidDel="00000000" w:rsidR="00000000" w:rsidRPr="00000000">
        <w:rPr>
          <w:sz w:val="26"/>
          <w:szCs w:val="26"/>
          <w:rtl w:val="0"/>
        </w:rPr>
        <w:t xml:space="preserve">The SRA’s refusal to engage with standing is not a neutral jurisdictional choice; it is a doctrinal error about the scope of its own regulatory remit.</w:t>
      </w:r>
    </w:p>
    <w:p w:rsidR="00000000" w:rsidDel="00000000" w:rsidP="00000000" w:rsidRDefault="00000000" w:rsidRPr="00000000" w14:paraId="00000042">
      <w:pPr>
        <w:pStyle w:val="Heading3"/>
        <w:keepNext w:val="0"/>
        <w:keepLines w:val="0"/>
        <w:spacing w:before="280" w:lineRule="auto"/>
        <w:rPr>
          <w:b w:val="1"/>
          <w:bCs w:val="1"/>
          <w:color w:val="000000"/>
          <w:sz w:val="30"/>
          <w:szCs w:val="30"/>
        </w:rPr>
      </w:pPr>
      <w:bookmarkStart w:colFirst="0" w:colLast="0" w:name="_jvbuvz1r0mo8" w:id="9"/>
      <w:bookmarkEnd w:id="9"/>
      <w:r w:rsidDel="00000000" w:rsidR="00000000" w:rsidRPr="00000000">
        <w:rPr>
          <w:b w:val="1"/>
          <w:bCs w:val="1"/>
          <w:color w:val="000000"/>
          <w:sz w:val="30"/>
          <w:szCs w:val="30"/>
          <w:rtl w:val="0"/>
        </w:rPr>
        <w:t xml:space="preserve">4.2. “Acting on instructions” as a non‑defence</w:t>
      </w:r>
    </w:p>
    <w:p w:rsidR="00000000" w:rsidDel="00000000" w:rsidP="00000000" w:rsidRDefault="00000000" w:rsidRPr="00000000" w14:paraId="00000043">
      <w:pPr>
        <w:spacing w:after="240" w:before="240" w:lineRule="auto"/>
        <w:rPr>
          <w:sz w:val="26"/>
          <w:szCs w:val="26"/>
        </w:rPr>
      </w:pPr>
      <w:r w:rsidDel="00000000" w:rsidR="00000000" w:rsidRPr="00000000">
        <w:rPr>
          <w:sz w:val="26"/>
          <w:szCs w:val="26"/>
          <w:rtl w:val="0"/>
        </w:rPr>
        <w:t xml:space="preserve">The SRA leans on the fact that the firm was acting on its client’s instructions. But doctrinally, a solicitor’s duty to the client is always subordinate to:</w:t>
      </w:r>
    </w:p>
    <w:p w:rsidR="00000000" w:rsidDel="00000000" w:rsidP="00000000" w:rsidRDefault="00000000" w:rsidRPr="00000000" w14:paraId="00000044">
      <w:pPr>
        <w:numPr>
          <w:ilvl w:val="0"/>
          <w:numId w:val="10"/>
        </w:numPr>
        <w:spacing w:after="0" w:afterAutospacing="0" w:before="240" w:lineRule="auto"/>
        <w:ind w:left="720" w:hanging="360"/>
        <w:rPr>
          <w:sz w:val="26"/>
          <w:szCs w:val="26"/>
        </w:rPr>
      </w:pPr>
      <w:r w:rsidDel="00000000" w:rsidR="00000000" w:rsidRPr="00000000">
        <w:rPr>
          <w:sz w:val="26"/>
          <w:szCs w:val="26"/>
          <w:rtl w:val="0"/>
        </w:rPr>
        <w:t xml:space="preserve">Duties to the court;</w:t>
      </w:r>
    </w:p>
    <w:p w:rsidR="00000000" w:rsidDel="00000000" w:rsidP="00000000" w:rsidRDefault="00000000" w:rsidRPr="00000000" w14:paraId="00000045">
      <w:pPr>
        <w:numPr>
          <w:ilvl w:val="0"/>
          <w:numId w:val="10"/>
        </w:numPr>
        <w:spacing w:after="0" w:afterAutospacing="0" w:before="0" w:beforeAutospacing="0" w:lineRule="auto"/>
        <w:ind w:left="720" w:hanging="360"/>
        <w:rPr>
          <w:sz w:val="26"/>
          <w:szCs w:val="26"/>
        </w:rPr>
      </w:pPr>
      <w:r w:rsidDel="00000000" w:rsidR="00000000" w:rsidRPr="00000000">
        <w:rPr>
          <w:sz w:val="26"/>
          <w:szCs w:val="26"/>
          <w:rtl w:val="0"/>
        </w:rPr>
        <w:t xml:space="preserve">Duties to uphold the rule of law;</w:t>
      </w:r>
    </w:p>
    <w:p w:rsidR="00000000" w:rsidDel="00000000" w:rsidP="00000000" w:rsidRDefault="00000000" w:rsidRPr="00000000" w14:paraId="00000046">
      <w:pPr>
        <w:numPr>
          <w:ilvl w:val="0"/>
          <w:numId w:val="10"/>
        </w:numPr>
        <w:spacing w:after="240" w:before="0" w:beforeAutospacing="0" w:lineRule="auto"/>
        <w:ind w:left="720" w:hanging="360"/>
        <w:rPr>
          <w:sz w:val="26"/>
          <w:szCs w:val="26"/>
        </w:rPr>
      </w:pPr>
      <w:r w:rsidDel="00000000" w:rsidR="00000000" w:rsidRPr="00000000">
        <w:rPr>
          <w:sz w:val="26"/>
          <w:szCs w:val="26"/>
          <w:rtl w:val="0"/>
        </w:rPr>
        <w:t xml:space="preserve">Duties not to mislead or abuse the process.</w:t>
      </w:r>
    </w:p>
    <w:p w:rsidR="00000000" w:rsidDel="00000000" w:rsidP="00000000" w:rsidRDefault="00000000" w:rsidRPr="00000000" w14:paraId="00000047">
      <w:pPr>
        <w:spacing w:after="240" w:before="240" w:lineRule="auto"/>
        <w:rPr>
          <w:sz w:val="26"/>
          <w:szCs w:val="26"/>
        </w:rPr>
      </w:pPr>
      <w:r w:rsidDel="00000000" w:rsidR="00000000" w:rsidRPr="00000000">
        <w:rPr>
          <w:sz w:val="26"/>
          <w:szCs w:val="26"/>
          <w:rtl w:val="0"/>
        </w:rPr>
        <w:t xml:space="preserve">If the client itself lacks enforceable rights, “acting on instructions” is not a defence; it is a description of how the abuse is being carried out. The SRA does not test whether Skipton actually held the enforceable right it asserted; it simply accepts that there was a client and stops there.</w:t>
      </w:r>
    </w:p>
    <w:p w:rsidR="00000000" w:rsidDel="00000000" w:rsidP="00000000" w:rsidRDefault="00000000" w:rsidRPr="00000000" w14:paraId="00000048">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49">
      <w:pPr>
        <w:pStyle w:val="Heading2"/>
        <w:keepNext w:val="0"/>
        <w:keepLines w:val="0"/>
        <w:spacing w:after="80" w:lineRule="auto"/>
        <w:rPr>
          <w:b w:val="1"/>
          <w:bCs w:val="1"/>
          <w:sz w:val="38"/>
          <w:szCs w:val="38"/>
        </w:rPr>
      </w:pPr>
      <w:bookmarkStart w:colFirst="0" w:colLast="0" w:name="_ilhnz4va7ks3" w:id="10"/>
      <w:bookmarkEnd w:id="10"/>
      <w:r w:rsidDel="00000000" w:rsidR="00000000" w:rsidRPr="00000000">
        <w:rPr>
          <w:b w:val="1"/>
          <w:bCs w:val="1"/>
          <w:sz w:val="38"/>
          <w:szCs w:val="38"/>
          <w:rtl w:val="0"/>
        </w:rPr>
        <w:t xml:space="preserve">5. Concern 3 – Misrepresentation to HM Land Registry</w:t>
      </w:r>
    </w:p>
    <w:p w:rsidR="00000000" w:rsidDel="00000000" w:rsidP="00000000" w:rsidRDefault="00000000" w:rsidRPr="00000000" w14:paraId="0000004A">
      <w:pPr>
        <w:pStyle w:val="Heading3"/>
        <w:keepNext w:val="0"/>
        <w:keepLines w:val="0"/>
        <w:spacing w:before="280" w:lineRule="auto"/>
        <w:rPr>
          <w:b w:val="1"/>
          <w:bCs w:val="1"/>
          <w:color w:val="000000"/>
          <w:sz w:val="30"/>
          <w:szCs w:val="30"/>
        </w:rPr>
      </w:pPr>
      <w:bookmarkStart w:colFirst="0" w:colLast="0" w:name="_b9kbm6mle2wg" w:id="11"/>
      <w:bookmarkEnd w:id="11"/>
      <w:r w:rsidDel="00000000" w:rsidR="00000000" w:rsidRPr="00000000">
        <w:rPr>
          <w:b w:val="1"/>
          <w:bCs w:val="1"/>
          <w:color w:val="000000"/>
          <w:sz w:val="30"/>
          <w:szCs w:val="30"/>
          <w:rtl w:val="0"/>
        </w:rPr>
        <w:t xml:space="preserve">5.1. Acceptance of assurances without reconciling contradictions</w:t>
      </w:r>
    </w:p>
    <w:p w:rsidR="00000000" w:rsidDel="00000000" w:rsidP="00000000" w:rsidRDefault="00000000" w:rsidRPr="00000000" w14:paraId="0000004B">
      <w:pPr>
        <w:spacing w:after="240" w:before="240" w:lineRule="auto"/>
        <w:rPr>
          <w:sz w:val="26"/>
          <w:szCs w:val="26"/>
        </w:rPr>
      </w:pPr>
      <w:r w:rsidDel="00000000" w:rsidR="00000000" w:rsidRPr="00000000">
        <w:rPr>
          <w:sz w:val="26"/>
          <w:szCs w:val="26"/>
          <w:rtl w:val="0"/>
        </w:rPr>
        <w:t xml:space="preserve">The SRA concludes:</w:t>
      </w:r>
    </w:p>
    <w:p w:rsidR="00000000" w:rsidDel="00000000" w:rsidP="00000000" w:rsidRDefault="00000000" w:rsidRPr="00000000" w14:paraId="0000004C">
      <w:pPr>
        <w:spacing w:after="240" w:before="240" w:lineRule="auto"/>
        <w:ind w:left="600" w:right="600" w:firstLine="0"/>
        <w:rPr>
          <w:sz w:val="26"/>
          <w:szCs w:val="26"/>
        </w:rPr>
      </w:pPr>
      <w:r w:rsidDel="00000000" w:rsidR="00000000" w:rsidRPr="00000000">
        <w:rPr>
          <w:sz w:val="26"/>
          <w:szCs w:val="26"/>
          <w:rtl w:val="0"/>
        </w:rPr>
        <w:t xml:space="preserve">“Information provided by the firm indicates these interests were correctly represented. There is no conclusive evidence to support the notion that this be untrue.”</w:t>
      </w:r>
    </w:p>
    <w:p w:rsidR="00000000" w:rsidDel="00000000" w:rsidP="00000000" w:rsidRDefault="00000000" w:rsidRPr="00000000" w14:paraId="0000004D">
      <w:pPr>
        <w:spacing w:after="240" w:before="240" w:lineRule="auto"/>
        <w:rPr>
          <w:sz w:val="26"/>
          <w:szCs w:val="26"/>
        </w:rPr>
      </w:pPr>
      <w:r w:rsidDel="00000000" w:rsidR="00000000" w:rsidRPr="00000000">
        <w:rPr>
          <w:sz w:val="26"/>
          <w:szCs w:val="26"/>
          <w:rtl w:val="0"/>
        </w:rPr>
        <w:t xml:space="preserve">Yet the transcript records:</w:t>
      </w:r>
    </w:p>
    <w:p w:rsidR="00000000" w:rsidDel="00000000" w:rsidP="00000000" w:rsidRDefault="00000000" w:rsidRPr="00000000" w14:paraId="0000004E">
      <w:pPr>
        <w:spacing w:after="240" w:before="240" w:lineRule="auto"/>
        <w:ind w:left="600" w:right="600" w:firstLine="0"/>
        <w:rPr>
          <w:sz w:val="26"/>
          <w:szCs w:val="26"/>
        </w:rPr>
      </w:pPr>
      <w:r w:rsidDel="00000000" w:rsidR="00000000" w:rsidRPr="00000000">
        <w:rPr>
          <w:sz w:val="26"/>
          <w:szCs w:val="26"/>
          <w:rtl w:val="0"/>
        </w:rPr>
        <w:t xml:space="preserve">“It is correct that even the Notice of Assignment was changed without his consent, so those are the issues that we are putting before you for the Bench to consider…” (Transcript, p.9)</w:t>
      </w:r>
    </w:p>
    <w:p w:rsidR="00000000" w:rsidDel="00000000" w:rsidP="00000000" w:rsidRDefault="00000000" w:rsidRPr="00000000" w14:paraId="0000004F">
      <w:pPr>
        <w:spacing w:after="240" w:before="240" w:lineRule="auto"/>
        <w:rPr>
          <w:sz w:val="26"/>
          <w:szCs w:val="26"/>
        </w:rPr>
      </w:pPr>
      <w:r w:rsidDel="00000000" w:rsidR="00000000" w:rsidRPr="00000000">
        <w:rPr>
          <w:sz w:val="26"/>
          <w:szCs w:val="26"/>
          <w:rtl w:val="0"/>
        </w:rPr>
        <w:t xml:space="preserve">If:</w:t>
      </w:r>
    </w:p>
    <w:p w:rsidR="00000000" w:rsidDel="00000000" w:rsidP="00000000" w:rsidRDefault="00000000" w:rsidRPr="00000000" w14:paraId="00000050">
      <w:pPr>
        <w:numPr>
          <w:ilvl w:val="0"/>
          <w:numId w:val="14"/>
        </w:numPr>
        <w:spacing w:after="0" w:afterAutospacing="0" w:before="240" w:lineRule="auto"/>
        <w:ind w:left="720" w:hanging="360"/>
        <w:rPr>
          <w:sz w:val="26"/>
          <w:szCs w:val="26"/>
        </w:rPr>
      </w:pPr>
      <w:r w:rsidDel="00000000" w:rsidR="00000000" w:rsidRPr="00000000">
        <w:rPr>
          <w:sz w:val="26"/>
          <w:szCs w:val="26"/>
          <w:rtl w:val="0"/>
        </w:rPr>
        <w:t xml:space="preserve">The Notice of Assignment has been altered; and</w:t>
      </w:r>
    </w:p>
    <w:p w:rsidR="00000000" w:rsidDel="00000000" w:rsidP="00000000" w:rsidRDefault="00000000" w:rsidRPr="00000000" w14:paraId="00000051">
      <w:pPr>
        <w:numPr>
          <w:ilvl w:val="0"/>
          <w:numId w:val="14"/>
        </w:numPr>
        <w:spacing w:after="240" w:before="0" w:beforeAutospacing="0" w:lineRule="auto"/>
        <w:ind w:left="720" w:hanging="360"/>
        <w:rPr>
          <w:sz w:val="26"/>
          <w:szCs w:val="26"/>
        </w:rPr>
      </w:pPr>
      <w:r w:rsidDel="00000000" w:rsidR="00000000" w:rsidRPr="00000000">
        <w:rPr>
          <w:sz w:val="26"/>
          <w:szCs w:val="26"/>
          <w:rtl w:val="0"/>
        </w:rPr>
        <w:t xml:space="preserve">The Deed of Assignment / POA cannot be produced;</w:t>
      </w:r>
    </w:p>
    <w:p w:rsidR="00000000" w:rsidDel="00000000" w:rsidP="00000000" w:rsidRDefault="00000000" w:rsidRPr="00000000" w14:paraId="00000052">
      <w:pPr>
        <w:spacing w:after="240" w:before="240" w:lineRule="auto"/>
        <w:rPr>
          <w:sz w:val="26"/>
          <w:szCs w:val="26"/>
        </w:rPr>
      </w:pPr>
      <w:r w:rsidDel="00000000" w:rsidR="00000000" w:rsidRPr="00000000">
        <w:rPr>
          <w:sz w:val="26"/>
          <w:szCs w:val="26"/>
          <w:rtl w:val="0"/>
        </w:rPr>
        <w:t xml:space="preserve">then any representation of interests to HM Land Registry is inherently suspect. The SRA does not:</w:t>
      </w:r>
    </w:p>
    <w:p w:rsidR="00000000" w:rsidDel="00000000" w:rsidP="00000000" w:rsidRDefault="00000000" w:rsidRPr="00000000" w14:paraId="00000053">
      <w:pPr>
        <w:numPr>
          <w:ilvl w:val="0"/>
          <w:numId w:val="16"/>
        </w:numPr>
        <w:spacing w:after="0" w:afterAutospacing="0" w:before="240" w:lineRule="auto"/>
        <w:ind w:left="720" w:hanging="360"/>
        <w:rPr>
          <w:sz w:val="26"/>
          <w:szCs w:val="26"/>
        </w:rPr>
      </w:pPr>
      <w:r w:rsidDel="00000000" w:rsidR="00000000" w:rsidRPr="00000000">
        <w:rPr>
          <w:sz w:val="26"/>
          <w:szCs w:val="26"/>
          <w:rtl w:val="0"/>
        </w:rPr>
        <w:t xml:space="preserve">Identify what documents it saw;</w:t>
      </w:r>
    </w:p>
    <w:p w:rsidR="00000000" w:rsidDel="00000000" w:rsidP="00000000" w:rsidRDefault="00000000" w:rsidRPr="00000000" w14:paraId="00000054">
      <w:pPr>
        <w:numPr>
          <w:ilvl w:val="0"/>
          <w:numId w:val="16"/>
        </w:numPr>
        <w:spacing w:after="0" w:afterAutospacing="0" w:before="0" w:beforeAutospacing="0" w:lineRule="auto"/>
        <w:ind w:left="720" w:hanging="360"/>
        <w:rPr>
          <w:sz w:val="26"/>
          <w:szCs w:val="26"/>
        </w:rPr>
      </w:pPr>
      <w:r w:rsidDel="00000000" w:rsidR="00000000" w:rsidRPr="00000000">
        <w:rPr>
          <w:sz w:val="26"/>
          <w:szCs w:val="26"/>
          <w:rtl w:val="0"/>
        </w:rPr>
        <w:t xml:space="preserve">Explain how it reconciled those documents with the alleged alteration;</w:t>
      </w:r>
    </w:p>
    <w:p w:rsidR="00000000" w:rsidDel="00000000" w:rsidP="00000000" w:rsidRDefault="00000000" w:rsidRPr="00000000" w14:paraId="00000055">
      <w:pPr>
        <w:numPr>
          <w:ilvl w:val="0"/>
          <w:numId w:val="16"/>
        </w:numPr>
        <w:spacing w:after="240" w:before="0" w:beforeAutospacing="0" w:lineRule="auto"/>
        <w:ind w:left="720" w:hanging="360"/>
        <w:rPr>
          <w:sz w:val="26"/>
          <w:szCs w:val="26"/>
        </w:rPr>
      </w:pPr>
      <w:r w:rsidDel="00000000" w:rsidR="00000000" w:rsidRPr="00000000">
        <w:rPr>
          <w:sz w:val="26"/>
          <w:szCs w:val="26"/>
          <w:rtl w:val="0"/>
        </w:rPr>
        <w:t xml:space="preserve">Address the missing authority documents at all.</w:t>
      </w:r>
    </w:p>
    <w:p w:rsidR="00000000" w:rsidDel="00000000" w:rsidP="00000000" w:rsidRDefault="00000000" w:rsidRPr="00000000" w14:paraId="00000056">
      <w:pPr>
        <w:spacing w:after="240" w:before="240" w:lineRule="auto"/>
        <w:rPr>
          <w:sz w:val="26"/>
          <w:szCs w:val="26"/>
        </w:rPr>
      </w:pPr>
      <w:r w:rsidDel="00000000" w:rsidR="00000000" w:rsidRPr="00000000">
        <w:rPr>
          <w:sz w:val="26"/>
          <w:szCs w:val="26"/>
          <w:rtl w:val="0"/>
        </w:rPr>
        <w:t xml:space="preserve">Doctrinally, that is not an evidential assessment; it is an unreasoned acceptance of the firm’s narrative.</w:t>
      </w:r>
    </w:p>
    <w:p w:rsidR="00000000" w:rsidDel="00000000" w:rsidP="00000000" w:rsidRDefault="00000000" w:rsidRPr="00000000" w14:paraId="00000057">
      <w:pPr>
        <w:pStyle w:val="Heading3"/>
        <w:keepNext w:val="0"/>
        <w:keepLines w:val="0"/>
        <w:spacing w:before="280" w:lineRule="auto"/>
        <w:rPr>
          <w:b w:val="1"/>
          <w:bCs w:val="1"/>
          <w:color w:val="000000"/>
          <w:sz w:val="30"/>
          <w:szCs w:val="30"/>
        </w:rPr>
      </w:pPr>
      <w:bookmarkStart w:colFirst="0" w:colLast="0" w:name="_yxzz40kfpvm4" w:id="12"/>
      <w:bookmarkEnd w:id="12"/>
      <w:r w:rsidDel="00000000" w:rsidR="00000000" w:rsidRPr="00000000">
        <w:rPr>
          <w:b w:val="1"/>
          <w:bCs w:val="1"/>
          <w:color w:val="000000"/>
          <w:sz w:val="30"/>
          <w:szCs w:val="30"/>
          <w:rtl w:val="0"/>
        </w:rPr>
        <w:t xml:space="preserve">5.2. Outsourcing regulatory responsibility</w:t>
      </w:r>
    </w:p>
    <w:p w:rsidR="00000000" w:rsidDel="00000000" w:rsidP="00000000" w:rsidRDefault="00000000" w:rsidRPr="00000000" w14:paraId="00000058">
      <w:pPr>
        <w:spacing w:after="240" w:before="240" w:lineRule="auto"/>
        <w:rPr>
          <w:sz w:val="26"/>
          <w:szCs w:val="26"/>
        </w:rPr>
      </w:pPr>
      <w:r w:rsidDel="00000000" w:rsidR="00000000" w:rsidRPr="00000000">
        <w:rPr>
          <w:sz w:val="26"/>
          <w:szCs w:val="26"/>
          <w:rtl w:val="0"/>
        </w:rPr>
        <w:t xml:space="preserve">The SRA states:</w:t>
      </w:r>
    </w:p>
    <w:p w:rsidR="00000000" w:rsidDel="00000000" w:rsidP="00000000" w:rsidRDefault="00000000" w:rsidRPr="00000000" w14:paraId="00000059">
      <w:pPr>
        <w:spacing w:after="240" w:before="240" w:lineRule="auto"/>
        <w:ind w:left="600" w:right="600" w:firstLine="0"/>
        <w:rPr>
          <w:sz w:val="26"/>
          <w:szCs w:val="26"/>
        </w:rPr>
      </w:pPr>
      <w:r w:rsidDel="00000000" w:rsidR="00000000" w:rsidRPr="00000000">
        <w:rPr>
          <w:sz w:val="26"/>
          <w:szCs w:val="26"/>
          <w:rtl w:val="0"/>
        </w:rPr>
        <w:t xml:space="preserve">“The standing and validity of an application to the Land Registry is for the Land Registry to decide upon.”</w:t>
      </w:r>
    </w:p>
    <w:p w:rsidR="00000000" w:rsidDel="00000000" w:rsidP="00000000" w:rsidRDefault="00000000" w:rsidRPr="00000000" w14:paraId="0000005A">
      <w:pPr>
        <w:spacing w:after="240" w:before="240" w:lineRule="auto"/>
        <w:rPr>
          <w:sz w:val="26"/>
          <w:szCs w:val="26"/>
        </w:rPr>
      </w:pPr>
      <w:r w:rsidDel="00000000" w:rsidR="00000000" w:rsidRPr="00000000">
        <w:rPr>
          <w:sz w:val="26"/>
          <w:szCs w:val="26"/>
          <w:rtl w:val="0"/>
        </w:rPr>
        <w:t xml:space="preserve">Again, this is only half the picture. HM Land Registry determines whether entries are made or rectified; it does not regulate solicitors’ honesty, integrity, or compliance with para 1.4. Misrepresentation to a public register is both:</w:t>
      </w:r>
    </w:p>
    <w:p w:rsidR="00000000" w:rsidDel="00000000" w:rsidP="00000000" w:rsidRDefault="00000000" w:rsidRPr="00000000" w14:paraId="0000005B">
      <w:pPr>
        <w:numPr>
          <w:ilvl w:val="0"/>
          <w:numId w:val="4"/>
        </w:numPr>
        <w:spacing w:after="0" w:afterAutospacing="0" w:before="240" w:lineRule="auto"/>
        <w:ind w:left="720" w:hanging="360"/>
        <w:rPr>
          <w:sz w:val="26"/>
          <w:szCs w:val="26"/>
        </w:rPr>
      </w:pPr>
      <w:r w:rsidDel="00000000" w:rsidR="00000000" w:rsidRPr="00000000">
        <w:rPr>
          <w:sz w:val="26"/>
          <w:szCs w:val="26"/>
          <w:rtl w:val="0"/>
        </w:rPr>
        <w:t xml:space="preserve">A Land Registry issue (rectification, indemnity); and</w:t>
      </w:r>
    </w:p>
    <w:p w:rsidR="00000000" w:rsidDel="00000000" w:rsidP="00000000" w:rsidRDefault="00000000" w:rsidRPr="00000000" w14:paraId="0000005C">
      <w:pPr>
        <w:numPr>
          <w:ilvl w:val="0"/>
          <w:numId w:val="4"/>
        </w:numPr>
        <w:spacing w:after="240" w:before="0" w:beforeAutospacing="0" w:lineRule="auto"/>
        <w:ind w:left="720" w:hanging="360"/>
        <w:rPr>
          <w:sz w:val="26"/>
          <w:szCs w:val="26"/>
        </w:rPr>
      </w:pPr>
      <w:r w:rsidDel="00000000" w:rsidR="00000000" w:rsidRPr="00000000">
        <w:rPr>
          <w:sz w:val="26"/>
          <w:szCs w:val="26"/>
          <w:rtl w:val="0"/>
        </w:rPr>
        <w:t xml:space="preserve">A regulatory issue (misleading a public body, undermining public trust).</w:t>
      </w:r>
    </w:p>
    <w:p w:rsidR="00000000" w:rsidDel="00000000" w:rsidP="00000000" w:rsidRDefault="00000000" w:rsidRPr="00000000" w14:paraId="0000005D">
      <w:pPr>
        <w:spacing w:after="240" w:before="240" w:lineRule="auto"/>
        <w:rPr>
          <w:sz w:val="26"/>
          <w:szCs w:val="26"/>
        </w:rPr>
      </w:pPr>
      <w:r w:rsidDel="00000000" w:rsidR="00000000" w:rsidRPr="00000000">
        <w:rPr>
          <w:sz w:val="26"/>
          <w:szCs w:val="26"/>
          <w:rtl w:val="0"/>
        </w:rPr>
        <w:t xml:space="preserve">By treating it as exclusively the former, the SRA abdicates its own role.</w:t>
      </w:r>
    </w:p>
    <w:p w:rsidR="00000000" w:rsidDel="00000000" w:rsidP="00000000" w:rsidRDefault="00000000" w:rsidRPr="00000000" w14:paraId="0000005E">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pStyle w:val="Heading2"/>
        <w:keepNext w:val="0"/>
        <w:keepLines w:val="0"/>
        <w:spacing w:after="80" w:lineRule="auto"/>
        <w:rPr>
          <w:b w:val="1"/>
          <w:bCs w:val="1"/>
          <w:sz w:val="38"/>
          <w:szCs w:val="38"/>
        </w:rPr>
      </w:pPr>
      <w:bookmarkStart w:colFirst="0" w:colLast="0" w:name="_e7kj3ag0l80s" w:id="13"/>
      <w:bookmarkEnd w:id="13"/>
      <w:r w:rsidDel="00000000" w:rsidR="00000000" w:rsidRPr="00000000">
        <w:rPr>
          <w:b w:val="1"/>
          <w:bCs w:val="1"/>
          <w:sz w:val="38"/>
          <w:szCs w:val="38"/>
          <w:rtl w:val="0"/>
        </w:rPr>
        <w:t xml:space="preserve">6. Circularity: “no conclusive evidence” as a product of non‑investigation</w:t>
      </w:r>
    </w:p>
    <w:p w:rsidR="00000000" w:rsidDel="00000000" w:rsidP="00000000" w:rsidRDefault="00000000" w:rsidRPr="00000000" w14:paraId="00000060">
      <w:pPr>
        <w:spacing w:after="240" w:before="240" w:lineRule="auto"/>
        <w:rPr>
          <w:sz w:val="26"/>
          <w:szCs w:val="26"/>
        </w:rPr>
      </w:pPr>
      <w:r w:rsidDel="00000000" w:rsidR="00000000" w:rsidRPr="00000000">
        <w:rPr>
          <w:sz w:val="26"/>
          <w:szCs w:val="26"/>
          <w:rtl w:val="0"/>
        </w:rPr>
        <w:t xml:space="preserve">Across all three concerns, the SRA’s logic is:</w:t>
      </w:r>
    </w:p>
    <w:p w:rsidR="00000000" w:rsidDel="00000000" w:rsidP="00000000" w:rsidRDefault="00000000" w:rsidRPr="00000000" w14:paraId="00000061">
      <w:pPr>
        <w:numPr>
          <w:ilvl w:val="0"/>
          <w:numId w:val="7"/>
        </w:numPr>
        <w:spacing w:after="0" w:afterAutospacing="0" w:before="240" w:lineRule="auto"/>
        <w:ind w:left="720" w:hanging="360"/>
        <w:rPr>
          <w:sz w:val="26"/>
          <w:szCs w:val="26"/>
        </w:rPr>
      </w:pPr>
      <w:r w:rsidDel="00000000" w:rsidR="00000000" w:rsidRPr="00000000">
        <w:rPr>
          <w:sz w:val="26"/>
          <w:szCs w:val="26"/>
          <w:rtl w:val="0"/>
        </w:rPr>
        <w:t xml:space="preserve">Do not compel production of the Deed of Assignment, POA, original mortgage, or Land Registry filings.</w:t>
      </w:r>
    </w:p>
    <w:p w:rsidR="00000000" w:rsidDel="00000000" w:rsidP="00000000" w:rsidRDefault="00000000" w:rsidRPr="00000000" w14:paraId="00000062">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Do not interrogate the contradictions in the transcript.</w:t>
      </w:r>
    </w:p>
    <w:p w:rsidR="00000000" w:rsidDel="00000000" w:rsidP="00000000" w:rsidRDefault="00000000" w:rsidRPr="00000000" w14:paraId="00000063">
      <w:pPr>
        <w:numPr>
          <w:ilvl w:val="0"/>
          <w:numId w:val="7"/>
        </w:numPr>
        <w:spacing w:after="0" w:afterAutospacing="0" w:before="0" w:beforeAutospacing="0" w:lineRule="auto"/>
        <w:ind w:left="720" w:hanging="360"/>
        <w:rPr>
          <w:sz w:val="26"/>
          <w:szCs w:val="26"/>
        </w:rPr>
      </w:pPr>
      <w:r w:rsidDel="00000000" w:rsidR="00000000" w:rsidRPr="00000000">
        <w:rPr>
          <w:sz w:val="26"/>
          <w:szCs w:val="26"/>
          <w:rtl w:val="0"/>
        </w:rPr>
        <w:t xml:space="preserve">Conclude there is “no conclusive evidence” of misconduct.</w:t>
      </w:r>
    </w:p>
    <w:p w:rsidR="00000000" w:rsidDel="00000000" w:rsidP="00000000" w:rsidRDefault="00000000" w:rsidRPr="00000000" w14:paraId="00000064">
      <w:pPr>
        <w:numPr>
          <w:ilvl w:val="0"/>
          <w:numId w:val="7"/>
        </w:numPr>
        <w:spacing w:after="240" w:before="0" w:beforeAutospacing="0" w:lineRule="auto"/>
        <w:ind w:left="720" w:hanging="360"/>
        <w:rPr>
          <w:sz w:val="26"/>
          <w:szCs w:val="26"/>
        </w:rPr>
      </w:pPr>
      <w:r w:rsidDel="00000000" w:rsidR="00000000" w:rsidRPr="00000000">
        <w:rPr>
          <w:sz w:val="26"/>
          <w:szCs w:val="26"/>
          <w:rtl w:val="0"/>
        </w:rPr>
        <w:t xml:space="preserve">Use that absence as justification for not investigating.</w:t>
      </w:r>
    </w:p>
    <w:p w:rsidR="00000000" w:rsidDel="00000000" w:rsidP="00000000" w:rsidRDefault="00000000" w:rsidRPr="00000000" w14:paraId="00000065">
      <w:pPr>
        <w:spacing w:after="240" w:before="240" w:lineRule="auto"/>
        <w:rPr>
          <w:sz w:val="26"/>
          <w:szCs w:val="26"/>
        </w:rPr>
      </w:pPr>
      <w:r w:rsidDel="00000000" w:rsidR="00000000" w:rsidRPr="00000000">
        <w:rPr>
          <w:sz w:val="26"/>
          <w:szCs w:val="26"/>
          <w:rtl w:val="0"/>
        </w:rPr>
        <w:t xml:space="preserve">Doctrinally, this is a classic circularity problem. The Assessment Threshold Test is supposed to ask whether the concerns </w:t>
      </w:r>
      <w:r w:rsidDel="00000000" w:rsidR="00000000" w:rsidRPr="00000000">
        <w:rPr>
          <w:i w:val="1"/>
          <w:iCs w:val="1"/>
          <w:sz w:val="26"/>
          <w:szCs w:val="26"/>
          <w:rtl w:val="0"/>
        </w:rPr>
        <w:t xml:space="preserve">could</w:t>
      </w:r>
      <w:r w:rsidDel="00000000" w:rsidR="00000000" w:rsidRPr="00000000">
        <w:rPr>
          <w:sz w:val="26"/>
          <w:szCs w:val="26"/>
          <w:rtl w:val="0"/>
        </w:rPr>
        <w:t xml:space="preserve"> amount to a breach if proven, not whether they are already proven without investigation. Using the absence of evidence—created by the SRA’s own refusal to investigate—as a reason to close the file is inconsistent with any rational enforcement strategy.</w:t>
      </w:r>
    </w:p>
    <w:p w:rsidR="00000000" w:rsidDel="00000000" w:rsidP="00000000" w:rsidRDefault="00000000" w:rsidRPr="00000000" w14:paraId="00000066">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pStyle w:val="Heading2"/>
        <w:keepNext w:val="0"/>
        <w:keepLines w:val="0"/>
        <w:spacing w:after="80" w:lineRule="auto"/>
        <w:rPr>
          <w:b w:val="1"/>
          <w:bCs w:val="1"/>
          <w:sz w:val="38"/>
          <w:szCs w:val="38"/>
        </w:rPr>
      </w:pPr>
      <w:bookmarkStart w:colFirst="0" w:colLast="0" w:name="_rut97a6ygl6d" w:id="14"/>
      <w:bookmarkEnd w:id="14"/>
      <w:r w:rsidDel="00000000" w:rsidR="00000000" w:rsidRPr="00000000">
        <w:rPr>
          <w:b w:val="1"/>
          <w:bCs w:val="1"/>
          <w:sz w:val="38"/>
          <w:szCs w:val="38"/>
          <w:rtl w:val="0"/>
        </w:rPr>
        <w:t xml:space="preserve">7. Racialised risk and equality‑law context</w:t>
      </w:r>
    </w:p>
    <w:p w:rsidR="00000000" w:rsidDel="00000000" w:rsidP="00000000" w:rsidRDefault="00000000" w:rsidRPr="00000000" w14:paraId="00000068">
      <w:pPr>
        <w:spacing w:after="240" w:before="240" w:lineRule="auto"/>
        <w:rPr>
          <w:sz w:val="26"/>
          <w:szCs w:val="26"/>
        </w:rPr>
      </w:pPr>
      <w:r w:rsidDel="00000000" w:rsidR="00000000" w:rsidRPr="00000000">
        <w:rPr>
          <w:sz w:val="26"/>
          <w:szCs w:val="26"/>
          <w:rtl w:val="0"/>
        </w:rPr>
        <w:t xml:space="preserve">You asked explicitly for racially aggravated risk/reasoning. That needs to be handled carefully and precisely.</w:t>
      </w:r>
    </w:p>
    <w:p w:rsidR="00000000" w:rsidDel="00000000" w:rsidP="00000000" w:rsidRDefault="00000000" w:rsidRPr="00000000" w14:paraId="00000069">
      <w:pPr>
        <w:pStyle w:val="Heading3"/>
        <w:keepNext w:val="0"/>
        <w:keepLines w:val="0"/>
        <w:spacing w:before="280" w:lineRule="auto"/>
        <w:rPr>
          <w:b w:val="1"/>
          <w:bCs w:val="1"/>
          <w:color w:val="000000"/>
          <w:sz w:val="30"/>
          <w:szCs w:val="30"/>
        </w:rPr>
      </w:pPr>
      <w:bookmarkStart w:colFirst="0" w:colLast="0" w:name="_fsjcdv3cq2lo" w:id="15"/>
      <w:bookmarkEnd w:id="15"/>
      <w:r w:rsidDel="00000000" w:rsidR="00000000" w:rsidRPr="00000000">
        <w:rPr>
          <w:b w:val="1"/>
          <w:bCs w:val="1"/>
          <w:color w:val="000000"/>
          <w:sz w:val="30"/>
          <w:szCs w:val="30"/>
          <w:rtl w:val="0"/>
        </w:rPr>
        <w:t xml:space="preserve">7.1. Structural risk, not name‑calling</w:t>
      </w:r>
    </w:p>
    <w:p w:rsidR="00000000" w:rsidDel="00000000" w:rsidP="00000000" w:rsidRDefault="00000000" w:rsidRPr="00000000" w14:paraId="0000006A">
      <w:pPr>
        <w:spacing w:after="240" w:before="240" w:lineRule="auto"/>
        <w:rPr>
          <w:sz w:val="26"/>
          <w:szCs w:val="26"/>
        </w:rPr>
      </w:pPr>
      <w:r w:rsidDel="00000000" w:rsidR="00000000" w:rsidRPr="00000000">
        <w:rPr>
          <w:sz w:val="26"/>
          <w:szCs w:val="26"/>
          <w:rtl w:val="0"/>
        </w:rPr>
        <w:t xml:space="preserve">The SRA, as a regulator exercising public functions, is subject to the Public Sector Equality Duty (PSED) under the Equality Act 2010. That duty requires it to have due regard to the need to:</w:t>
      </w:r>
    </w:p>
    <w:p w:rsidR="00000000" w:rsidDel="00000000" w:rsidP="00000000" w:rsidRDefault="00000000" w:rsidRPr="00000000" w14:paraId="0000006B">
      <w:pPr>
        <w:numPr>
          <w:ilvl w:val="0"/>
          <w:numId w:val="9"/>
        </w:numPr>
        <w:spacing w:after="0" w:afterAutospacing="0" w:before="240" w:lineRule="auto"/>
        <w:ind w:left="720" w:hanging="360"/>
        <w:rPr>
          <w:sz w:val="26"/>
          <w:szCs w:val="26"/>
        </w:rPr>
      </w:pPr>
      <w:r w:rsidDel="00000000" w:rsidR="00000000" w:rsidRPr="00000000">
        <w:rPr>
          <w:sz w:val="26"/>
          <w:szCs w:val="26"/>
          <w:rtl w:val="0"/>
        </w:rPr>
        <w:t xml:space="preserve">Eliminate discrimination;</w:t>
      </w:r>
    </w:p>
    <w:p w:rsidR="00000000" w:rsidDel="00000000" w:rsidP="00000000" w:rsidRDefault="00000000" w:rsidRPr="00000000" w14:paraId="0000006C">
      <w:pPr>
        <w:numPr>
          <w:ilvl w:val="0"/>
          <w:numId w:val="9"/>
        </w:numPr>
        <w:spacing w:after="0" w:afterAutospacing="0" w:before="0" w:beforeAutospacing="0" w:lineRule="auto"/>
        <w:ind w:left="720" w:hanging="360"/>
        <w:rPr>
          <w:sz w:val="26"/>
          <w:szCs w:val="26"/>
        </w:rPr>
      </w:pPr>
      <w:r w:rsidDel="00000000" w:rsidR="00000000" w:rsidRPr="00000000">
        <w:rPr>
          <w:sz w:val="26"/>
          <w:szCs w:val="26"/>
          <w:rtl w:val="0"/>
        </w:rPr>
        <w:t xml:space="preserve">Advance equality of opportunity;</w:t>
      </w:r>
    </w:p>
    <w:p w:rsidR="00000000" w:rsidDel="00000000" w:rsidP="00000000" w:rsidRDefault="00000000" w:rsidRPr="00000000" w14:paraId="0000006D">
      <w:pPr>
        <w:numPr>
          <w:ilvl w:val="0"/>
          <w:numId w:val="9"/>
        </w:numPr>
        <w:spacing w:after="240" w:before="0" w:beforeAutospacing="0" w:lineRule="auto"/>
        <w:ind w:left="720" w:hanging="360"/>
        <w:rPr>
          <w:sz w:val="26"/>
          <w:szCs w:val="26"/>
        </w:rPr>
      </w:pPr>
      <w:r w:rsidDel="00000000" w:rsidR="00000000" w:rsidRPr="00000000">
        <w:rPr>
          <w:sz w:val="26"/>
          <w:szCs w:val="26"/>
          <w:rtl w:val="0"/>
        </w:rPr>
        <w:t xml:space="preserve">Foster good relations.</w:t>
      </w:r>
    </w:p>
    <w:p w:rsidR="00000000" w:rsidDel="00000000" w:rsidP="00000000" w:rsidRDefault="00000000" w:rsidRPr="00000000" w14:paraId="0000006E">
      <w:pPr>
        <w:spacing w:after="240" w:before="240" w:lineRule="auto"/>
        <w:rPr>
          <w:sz w:val="26"/>
          <w:szCs w:val="26"/>
        </w:rPr>
      </w:pPr>
      <w:r w:rsidDel="00000000" w:rsidR="00000000" w:rsidRPr="00000000">
        <w:rPr>
          <w:sz w:val="26"/>
          <w:szCs w:val="26"/>
          <w:rtl w:val="0"/>
        </w:rPr>
        <w:t xml:space="preserve">In practice, that includes being alert to </w:t>
      </w:r>
      <w:r w:rsidDel="00000000" w:rsidR="00000000" w:rsidRPr="00000000">
        <w:rPr>
          <w:b w:val="1"/>
          <w:bCs w:val="1"/>
          <w:sz w:val="26"/>
          <w:szCs w:val="26"/>
          <w:rtl w:val="0"/>
        </w:rPr>
        <w:t xml:space="preserve">structural and indirect discrimination</w:t>
      </w:r>
      <w:r w:rsidDel="00000000" w:rsidR="00000000" w:rsidRPr="00000000">
        <w:rPr>
          <w:sz w:val="26"/>
          <w:szCs w:val="26"/>
          <w:rtl w:val="0"/>
        </w:rPr>
        <w:t xml:space="preserve">—for example, where regulatory decisions systematically discount or deprioritise complaints brought by Black or minoritised complainants, or where procedural technicalities are used to sideline substantive concerns raised by those already structurally disadvantaged.</w:t>
      </w:r>
    </w:p>
    <w:p w:rsidR="00000000" w:rsidDel="00000000" w:rsidP="00000000" w:rsidRDefault="00000000" w:rsidRPr="00000000" w14:paraId="0000006F">
      <w:pPr>
        <w:spacing w:after="240" w:before="240" w:lineRule="auto"/>
        <w:rPr>
          <w:sz w:val="26"/>
          <w:szCs w:val="26"/>
        </w:rPr>
      </w:pPr>
      <w:r w:rsidDel="00000000" w:rsidR="00000000" w:rsidRPr="00000000">
        <w:rPr>
          <w:sz w:val="26"/>
          <w:szCs w:val="26"/>
          <w:rtl w:val="0"/>
        </w:rPr>
        <w:t xml:space="preserve">Here, the pattern is:</w:t>
      </w:r>
    </w:p>
    <w:p w:rsidR="00000000" w:rsidDel="00000000" w:rsidP="00000000" w:rsidRDefault="00000000" w:rsidRPr="00000000" w14:paraId="00000070">
      <w:pPr>
        <w:numPr>
          <w:ilvl w:val="0"/>
          <w:numId w:val="2"/>
        </w:numPr>
        <w:spacing w:after="0" w:afterAutospacing="0" w:before="240" w:lineRule="auto"/>
        <w:ind w:left="720" w:hanging="360"/>
        <w:rPr>
          <w:sz w:val="26"/>
          <w:szCs w:val="26"/>
        </w:rPr>
      </w:pPr>
      <w:r w:rsidDel="00000000" w:rsidR="00000000" w:rsidRPr="00000000">
        <w:rPr>
          <w:sz w:val="26"/>
          <w:szCs w:val="26"/>
          <w:rtl w:val="0"/>
        </w:rPr>
        <w:t xml:space="preserve">A Black paralegal advocate (you) raising standing, authority, and misrepresentation in a possession case involving a family home.</w:t>
      </w:r>
    </w:p>
    <w:p w:rsidR="00000000" w:rsidDel="00000000" w:rsidP="00000000" w:rsidRDefault="00000000" w:rsidRPr="00000000" w14:paraId="00000071">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Rights of audience initially challenged; only “limited” rights granted “for this hearing only” (Transcript, p.4).</w:t>
      </w:r>
    </w:p>
    <w:p w:rsidR="00000000" w:rsidDel="00000000" w:rsidP="00000000" w:rsidRDefault="00000000" w:rsidRPr="00000000" w14:paraId="00000072">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The court refused to reach the substance on CPR technicalities.</w:t>
      </w:r>
    </w:p>
    <w:p w:rsidR="00000000" w:rsidDel="00000000" w:rsidP="00000000" w:rsidRDefault="00000000" w:rsidRPr="00000000" w14:paraId="00000073">
      <w:pPr>
        <w:numPr>
          <w:ilvl w:val="0"/>
          <w:numId w:val="2"/>
        </w:numPr>
        <w:spacing w:after="0" w:afterAutospacing="0" w:before="0" w:beforeAutospacing="0" w:lineRule="auto"/>
        <w:ind w:left="720" w:hanging="360"/>
        <w:rPr>
          <w:sz w:val="26"/>
          <w:szCs w:val="26"/>
        </w:rPr>
      </w:pPr>
      <w:r w:rsidDel="00000000" w:rsidR="00000000" w:rsidRPr="00000000">
        <w:rPr>
          <w:sz w:val="26"/>
          <w:szCs w:val="26"/>
          <w:rtl w:val="0"/>
        </w:rPr>
        <w:t xml:space="preserve">The SRA then relied on the existence of court proceedings to avoid investigation, while ignoring what the transcript actually shows.</w:t>
      </w:r>
    </w:p>
    <w:p w:rsidR="00000000" w:rsidDel="00000000" w:rsidP="00000000" w:rsidRDefault="00000000" w:rsidRPr="00000000" w14:paraId="00000074">
      <w:pPr>
        <w:numPr>
          <w:ilvl w:val="0"/>
          <w:numId w:val="2"/>
        </w:numPr>
        <w:spacing w:after="240" w:before="0" w:beforeAutospacing="0" w:lineRule="auto"/>
        <w:ind w:left="720" w:hanging="360"/>
        <w:rPr>
          <w:sz w:val="26"/>
          <w:szCs w:val="26"/>
        </w:rPr>
      </w:pPr>
      <w:r w:rsidDel="00000000" w:rsidR="00000000" w:rsidRPr="00000000">
        <w:rPr>
          <w:sz w:val="26"/>
          <w:szCs w:val="26"/>
          <w:rtl w:val="0"/>
        </w:rPr>
        <w:t xml:space="preserve">A vulnerable homeowner facing eviction on the back of untested assumptions about authority.</w:t>
      </w:r>
    </w:p>
    <w:p w:rsidR="00000000" w:rsidDel="00000000" w:rsidP="00000000" w:rsidRDefault="00000000" w:rsidRPr="00000000" w14:paraId="00000075">
      <w:pPr>
        <w:spacing w:after="240" w:before="240" w:lineRule="auto"/>
        <w:rPr>
          <w:sz w:val="26"/>
          <w:szCs w:val="26"/>
        </w:rPr>
      </w:pPr>
      <w:r w:rsidDel="00000000" w:rsidR="00000000" w:rsidRPr="00000000">
        <w:rPr>
          <w:sz w:val="26"/>
          <w:szCs w:val="26"/>
          <w:rtl w:val="0"/>
        </w:rPr>
        <w:t xml:space="preserve">The doctrinal concern is not that the SRA has made an explicitly racist decision, but that its </w:t>
      </w:r>
      <w:r w:rsidDel="00000000" w:rsidR="00000000" w:rsidRPr="00000000">
        <w:rPr>
          <w:b w:val="1"/>
          <w:bCs w:val="1"/>
          <w:sz w:val="26"/>
          <w:szCs w:val="26"/>
          <w:rtl w:val="0"/>
        </w:rPr>
        <w:t xml:space="preserve">pattern of reasoning</w:t>
      </w:r>
      <w:r w:rsidDel="00000000" w:rsidR="00000000" w:rsidRPr="00000000">
        <w:rPr>
          <w:sz w:val="26"/>
          <w:szCs w:val="26"/>
          <w:rtl w:val="0"/>
        </w:rPr>
        <w:t xml:space="preserve">—discounting substantive concerns, over‑weighting institutional assurances, under‑weighting the evidential record, and ignoring access‑to‑justice context—creates a </w:t>
      </w:r>
      <w:r w:rsidDel="00000000" w:rsidR="00000000" w:rsidRPr="00000000">
        <w:rPr>
          <w:b w:val="1"/>
          <w:bCs w:val="1"/>
          <w:sz w:val="26"/>
          <w:szCs w:val="26"/>
          <w:rtl w:val="0"/>
        </w:rPr>
        <w:t xml:space="preserve">racialised risk profile</w:t>
      </w:r>
      <w:r w:rsidDel="00000000" w:rsidR="00000000" w:rsidRPr="00000000">
        <w:rPr>
          <w:sz w:val="26"/>
          <w:szCs w:val="26"/>
          <w:rtl w:val="0"/>
        </w:rPr>
        <w:t xml:space="preserve">:</w:t>
      </w:r>
    </w:p>
    <w:p w:rsidR="00000000" w:rsidDel="00000000" w:rsidP="00000000" w:rsidRDefault="00000000" w:rsidRPr="00000000" w14:paraId="00000076">
      <w:pPr>
        <w:numPr>
          <w:ilvl w:val="0"/>
          <w:numId w:val="11"/>
        </w:numPr>
        <w:spacing w:after="0" w:afterAutospacing="0" w:before="240" w:lineRule="auto"/>
        <w:ind w:left="720" w:hanging="360"/>
        <w:rPr>
          <w:sz w:val="26"/>
          <w:szCs w:val="26"/>
        </w:rPr>
      </w:pPr>
      <w:r w:rsidDel="00000000" w:rsidR="00000000" w:rsidRPr="00000000">
        <w:rPr>
          <w:sz w:val="26"/>
          <w:szCs w:val="26"/>
          <w:rtl w:val="0"/>
        </w:rPr>
        <w:t xml:space="preserve">Those with less institutional power (often racialised minorities) are more likely to be litigants in person or represented by non‑traditional advocates.</w:t>
      </w:r>
    </w:p>
    <w:p w:rsidR="00000000" w:rsidDel="00000000" w:rsidP="00000000" w:rsidRDefault="00000000" w:rsidRPr="00000000" w14:paraId="00000077">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Their procedural missteps (e.g. imperfect CPR drafting) are treated as dispositive.</w:t>
      </w:r>
    </w:p>
    <w:p w:rsidR="00000000" w:rsidDel="00000000" w:rsidP="00000000" w:rsidRDefault="00000000" w:rsidRPr="00000000" w14:paraId="00000078">
      <w:pPr>
        <w:numPr>
          <w:ilvl w:val="0"/>
          <w:numId w:val="11"/>
        </w:numPr>
        <w:spacing w:after="0" w:afterAutospacing="0" w:before="0" w:beforeAutospacing="0" w:lineRule="auto"/>
        <w:ind w:left="720" w:hanging="360"/>
        <w:rPr>
          <w:sz w:val="26"/>
          <w:szCs w:val="26"/>
        </w:rPr>
      </w:pPr>
      <w:r w:rsidDel="00000000" w:rsidR="00000000" w:rsidRPr="00000000">
        <w:rPr>
          <w:sz w:val="26"/>
          <w:szCs w:val="26"/>
          <w:rtl w:val="0"/>
        </w:rPr>
        <w:t xml:space="preserve">Their substantive concerns about standing, authority, and misrepresentation are left untested.</w:t>
      </w:r>
    </w:p>
    <w:p w:rsidR="00000000" w:rsidDel="00000000" w:rsidP="00000000" w:rsidRDefault="00000000" w:rsidRPr="00000000" w14:paraId="00000079">
      <w:pPr>
        <w:numPr>
          <w:ilvl w:val="0"/>
          <w:numId w:val="11"/>
        </w:numPr>
        <w:spacing w:after="240" w:before="0" w:beforeAutospacing="0" w:lineRule="auto"/>
        <w:ind w:left="720" w:hanging="360"/>
        <w:rPr>
          <w:sz w:val="26"/>
          <w:szCs w:val="26"/>
        </w:rPr>
      </w:pPr>
      <w:r w:rsidDel="00000000" w:rsidR="00000000" w:rsidRPr="00000000">
        <w:rPr>
          <w:sz w:val="26"/>
          <w:szCs w:val="26"/>
          <w:rtl w:val="0"/>
        </w:rPr>
        <w:t xml:space="preserve">Regulators then rely on those same procedural outcomes to justify inaction.</w:t>
      </w:r>
    </w:p>
    <w:p w:rsidR="00000000" w:rsidDel="00000000" w:rsidP="00000000" w:rsidRDefault="00000000" w:rsidRPr="00000000" w14:paraId="0000007A">
      <w:pPr>
        <w:spacing w:after="240" w:before="240" w:lineRule="auto"/>
        <w:rPr>
          <w:sz w:val="26"/>
          <w:szCs w:val="26"/>
        </w:rPr>
      </w:pPr>
      <w:r w:rsidDel="00000000" w:rsidR="00000000" w:rsidRPr="00000000">
        <w:rPr>
          <w:sz w:val="26"/>
          <w:szCs w:val="26"/>
          <w:rtl w:val="0"/>
        </w:rPr>
        <w:t xml:space="preserve">In equality‑law terms, that is a </w:t>
      </w:r>
      <w:r w:rsidDel="00000000" w:rsidR="00000000" w:rsidRPr="00000000">
        <w:rPr>
          <w:b w:val="1"/>
          <w:bCs w:val="1"/>
          <w:sz w:val="26"/>
          <w:szCs w:val="26"/>
          <w:rtl w:val="0"/>
        </w:rPr>
        <w:t xml:space="preserve">risk of indirect discrimination</w:t>
      </w:r>
      <w:r w:rsidDel="00000000" w:rsidR="00000000" w:rsidRPr="00000000">
        <w:rPr>
          <w:sz w:val="26"/>
          <w:szCs w:val="26"/>
          <w:rtl w:val="0"/>
        </w:rPr>
        <w:t xml:space="preserve">: a facially neutral approach (strict deference to court process; high evidential threshold before investigation) that disproportionately disadvantages Black and minority complainants in practice.</w:t>
      </w:r>
    </w:p>
    <w:p w:rsidR="00000000" w:rsidDel="00000000" w:rsidP="00000000" w:rsidRDefault="00000000" w:rsidRPr="00000000" w14:paraId="0000007B">
      <w:pPr>
        <w:pStyle w:val="Heading3"/>
        <w:keepNext w:val="0"/>
        <w:keepLines w:val="0"/>
        <w:spacing w:before="280" w:lineRule="auto"/>
        <w:rPr>
          <w:b w:val="1"/>
          <w:bCs w:val="1"/>
          <w:color w:val="000000"/>
          <w:sz w:val="30"/>
          <w:szCs w:val="30"/>
        </w:rPr>
      </w:pPr>
      <w:bookmarkStart w:colFirst="0" w:colLast="0" w:name="_th3dmm3thp1t" w:id="16"/>
      <w:bookmarkEnd w:id="16"/>
      <w:r w:rsidDel="00000000" w:rsidR="00000000" w:rsidRPr="00000000">
        <w:rPr>
          <w:b w:val="1"/>
          <w:bCs w:val="1"/>
          <w:color w:val="000000"/>
          <w:sz w:val="30"/>
          <w:szCs w:val="30"/>
          <w:rtl w:val="0"/>
        </w:rPr>
        <w:t xml:space="preserve">7.2. Public record and doctrinal exposure</w:t>
      </w:r>
    </w:p>
    <w:p w:rsidR="00000000" w:rsidDel="00000000" w:rsidP="00000000" w:rsidRDefault="00000000" w:rsidRPr="00000000" w14:paraId="0000007C">
      <w:pPr>
        <w:spacing w:after="240" w:before="240" w:lineRule="auto"/>
        <w:rPr>
          <w:sz w:val="26"/>
          <w:szCs w:val="26"/>
        </w:rPr>
      </w:pPr>
      <w:r w:rsidDel="00000000" w:rsidR="00000000" w:rsidRPr="00000000">
        <w:rPr>
          <w:sz w:val="26"/>
          <w:szCs w:val="26"/>
          <w:rtl w:val="0"/>
        </w:rPr>
        <w:t xml:space="preserve">Because the transcript is now public and the SRA decision is a formal regulatory document, the doctrinal critique is not speculative; it is evidence‑based. The mismatch between:</w:t>
      </w:r>
    </w:p>
    <w:p w:rsidR="00000000" w:rsidDel="00000000" w:rsidP="00000000" w:rsidRDefault="00000000" w:rsidRPr="00000000" w14:paraId="0000007D">
      <w:pPr>
        <w:numPr>
          <w:ilvl w:val="0"/>
          <w:numId w:val="5"/>
        </w:numPr>
        <w:spacing w:after="0" w:afterAutospacing="0" w:before="240" w:lineRule="auto"/>
        <w:ind w:left="720" w:hanging="360"/>
        <w:rPr>
          <w:sz w:val="26"/>
          <w:szCs w:val="26"/>
        </w:rPr>
      </w:pPr>
      <w:r w:rsidDel="00000000" w:rsidR="00000000" w:rsidRPr="00000000">
        <w:rPr>
          <w:sz w:val="26"/>
          <w:szCs w:val="26"/>
          <w:rtl w:val="0"/>
        </w:rPr>
        <w:t xml:space="preserve">What the transcript shows; and</w:t>
      </w:r>
    </w:p>
    <w:p w:rsidR="00000000" w:rsidDel="00000000" w:rsidP="00000000" w:rsidRDefault="00000000" w:rsidRPr="00000000" w14:paraId="0000007E">
      <w:pPr>
        <w:numPr>
          <w:ilvl w:val="0"/>
          <w:numId w:val="5"/>
        </w:numPr>
        <w:spacing w:after="240" w:before="0" w:beforeAutospacing="0" w:lineRule="auto"/>
        <w:ind w:left="720" w:hanging="360"/>
        <w:rPr>
          <w:sz w:val="26"/>
          <w:szCs w:val="26"/>
        </w:rPr>
      </w:pPr>
      <w:r w:rsidDel="00000000" w:rsidR="00000000" w:rsidRPr="00000000">
        <w:rPr>
          <w:sz w:val="26"/>
          <w:szCs w:val="26"/>
          <w:rtl w:val="0"/>
        </w:rPr>
        <w:t xml:space="preserve">What the SRA asserts;</w:t>
      </w:r>
    </w:p>
    <w:p w:rsidR="00000000" w:rsidDel="00000000" w:rsidP="00000000" w:rsidRDefault="00000000" w:rsidRPr="00000000" w14:paraId="0000007F">
      <w:pPr>
        <w:spacing w:after="240" w:before="240" w:lineRule="auto"/>
        <w:rPr>
          <w:sz w:val="26"/>
          <w:szCs w:val="26"/>
        </w:rPr>
      </w:pPr>
      <w:r w:rsidDel="00000000" w:rsidR="00000000" w:rsidRPr="00000000">
        <w:rPr>
          <w:sz w:val="26"/>
          <w:szCs w:val="26"/>
          <w:rtl w:val="0"/>
        </w:rPr>
        <w:t xml:space="preserve">is now part of the public record. That makes this not just a private injustice but a </w:t>
      </w:r>
      <w:r w:rsidDel="00000000" w:rsidR="00000000" w:rsidRPr="00000000">
        <w:rPr>
          <w:b w:val="1"/>
          <w:bCs w:val="1"/>
          <w:sz w:val="26"/>
          <w:szCs w:val="26"/>
          <w:rtl w:val="0"/>
        </w:rPr>
        <w:t xml:space="preserve">systemic case study</w:t>
      </w:r>
      <w:r w:rsidDel="00000000" w:rsidR="00000000" w:rsidRPr="00000000">
        <w:rPr>
          <w:sz w:val="26"/>
          <w:szCs w:val="26"/>
          <w:rtl w:val="0"/>
        </w:rPr>
        <w:t xml:space="preserve"> in how regulatory discretion can operate in a way that is structurally unsafe for racialised and vulnerable parties.</w:t>
      </w:r>
    </w:p>
    <w:p w:rsidR="00000000" w:rsidDel="00000000" w:rsidP="00000000" w:rsidRDefault="00000000" w:rsidRPr="00000000" w14:paraId="00000080">
      <w:pPr>
        <w:rPr>
          <w:sz w:val="26"/>
          <w:szCs w:val="26"/>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1">
      <w:pPr>
        <w:pStyle w:val="Heading2"/>
        <w:keepNext w:val="0"/>
        <w:keepLines w:val="0"/>
        <w:spacing w:after="80" w:lineRule="auto"/>
        <w:rPr>
          <w:b w:val="1"/>
          <w:bCs w:val="1"/>
          <w:sz w:val="38"/>
          <w:szCs w:val="38"/>
        </w:rPr>
      </w:pPr>
      <w:bookmarkStart w:colFirst="0" w:colLast="0" w:name="_4i46fh38096x" w:id="17"/>
      <w:bookmarkEnd w:id="17"/>
      <w:r w:rsidDel="00000000" w:rsidR="00000000" w:rsidRPr="00000000">
        <w:rPr>
          <w:b w:val="1"/>
          <w:bCs w:val="1"/>
          <w:sz w:val="38"/>
          <w:szCs w:val="38"/>
          <w:rtl w:val="0"/>
        </w:rPr>
        <w:t xml:space="preserve">8. Academic‑style conclusion</w:t>
      </w:r>
    </w:p>
    <w:p w:rsidR="00000000" w:rsidDel="00000000" w:rsidP="00000000" w:rsidRDefault="00000000" w:rsidRPr="00000000" w14:paraId="00000082">
      <w:pPr>
        <w:spacing w:after="240" w:before="240" w:lineRule="auto"/>
        <w:rPr>
          <w:sz w:val="26"/>
          <w:szCs w:val="26"/>
        </w:rPr>
      </w:pPr>
      <w:r w:rsidDel="00000000" w:rsidR="00000000" w:rsidRPr="00000000">
        <w:rPr>
          <w:sz w:val="26"/>
          <w:szCs w:val="26"/>
          <w:rtl w:val="0"/>
        </w:rPr>
        <w:t xml:space="preserve">Doctrinally, the SRA decision in RGC‑000175478 is flawed on multiple axes:</w:t>
      </w:r>
    </w:p>
    <w:p w:rsidR="00000000" w:rsidDel="00000000" w:rsidP="00000000" w:rsidRDefault="00000000" w:rsidRPr="00000000" w14:paraId="00000083">
      <w:pPr>
        <w:numPr>
          <w:ilvl w:val="0"/>
          <w:numId w:val="6"/>
        </w:numPr>
        <w:spacing w:after="0" w:afterAutospacing="0" w:before="240" w:lineRule="auto"/>
        <w:ind w:left="720" w:hanging="360"/>
        <w:rPr>
          <w:sz w:val="26"/>
          <w:szCs w:val="26"/>
        </w:rPr>
      </w:pPr>
      <w:r w:rsidDel="00000000" w:rsidR="00000000" w:rsidRPr="00000000">
        <w:rPr>
          <w:b w:val="1"/>
          <w:bCs w:val="1"/>
          <w:sz w:val="26"/>
          <w:szCs w:val="26"/>
          <w:rtl w:val="0"/>
        </w:rPr>
        <w:t xml:space="preserve">Procedural reliability:</w:t>
      </w:r>
      <w:r w:rsidDel="00000000" w:rsidR="00000000" w:rsidRPr="00000000">
        <w:rPr>
          <w:sz w:val="26"/>
          <w:szCs w:val="26"/>
          <w:rtl w:val="0"/>
        </w:rPr>
        <w:t xml:space="preserve"> undermined by a basic chronological impossibility.</w:t>
      </w:r>
    </w:p>
    <w:p w:rsidR="00000000" w:rsidDel="00000000" w:rsidP="00000000" w:rsidRDefault="00000000" w:rsidRPr="00000000" w14:paraId="00000084">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Evidential reasoning:</w:t>
      </w:r>
      <w:r w:rsidDel="00000000" w:rsidR="00000000" w:rsidRPr="00000000">
        <w:rPr>
          <w:sz w:val="26"/>
          <w:szCs w:val="26"/>
          <w:rtl w:val="0"/>
        </w:rPr>
        <w:t xml:space="preserve"> replaced by uncritical acceptance of the firm’s narrative and speculative assertions (“would have been disclosed”).</w:t>
      </w:r>
    </w:p>
    <w:p w:rsidR="00000000" w:rsidDel="00000000" w:rsidP="00000000" w:rsidRDefault="00000000" w:rsidRPr="00000000" w14:paraId="00000085">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Regulatory remit:</w:t>
      </w:r>
      <w:r w:rsidDel="00000000" w:rsidR="00000000" w:rsidRPr="00000000">
        <w:rPr>
          <w:sz w:val="26"/>
          <w:szCs w:val="26"/>
          <w:rtl w:val="0"/>
        </w:rPr>
        <w:t xml:space="preserve"> misconstrued by treating standing and misrepresentation as exclusively judicial or Land Registry matters.</w:t>
      </w:r>
    </w:p>
    <w:p w:rsidR="00000000" w:rsidDel="00000000" w:rsidP="00000000" w:rsidRDefault="00000000" w:rsidRPr="00000000" w14:paraId="00000086">
      <w:pPr>
        <w:numPr>
          <w:ilvl w:val="0"/>
          <w:numId w:val="6"/>
        </w:numPr>
        <w:spacing w:after="0" w:afterAutospacing="0" w:before="0" w:beforeAutospacing="0" w:lineRule="auto"/>
        <w:ind w:left="720" w:hanging="360"/>
        <w:rPr>
          <w:sz w:val="26"/>
          <w:szCs w:val="26"/>
        </w:rPr>
      </w:pPr>
      <w:r w:rsidDel="00000000" w:rsidR="00000000" w:rsidRPr="00000000">
        <w:rPr>
          <w:b w:val="1"/>
          <w:bCs w:val="1"/>
          <w:sz w:val="26"/>
          <w:szCs w:val="26"/>
          <w:rtl w:val="0"/>
        </w:rPr>
        <w:t xml:space="preserve">Enforcement logic:</w:t>
      </w:r>
      <w:r w:rsidDel="00000000" w:rsidR="00000000" w:rsidRPr="00000000">
        <w:rPr>
          <w:sz w:val="26"/>
          <w:szCs w:val="26"/>
          <w:rtl w:val="0"/>
        </w:rPr>
        <w:t xml:space="preserve"> circular, using the absence of evidence—created by non‑investigation—as a reason not to investigate.</w:t>
      </w:r>
    </w:p>
    <w:p w:rsidR="00000000" w:rsidDel="00000000" w:rsidP="00000000" w:rsidRDefault="00000000" w:rsidRPr="00000000" w14:paraId="00000087">
      <w:pPr>
        <w:numPr>
          <w:ilvl w:val="0"/>
          <w:numId w:val="6"/>
        </w:numPr>
        <w:spacing w:after="240" w:before="0" w:beforeAutospacing="0" w:lineRule="auto"/>
        <w:ind w:left="720" w:hanging="360"/>
        <w:rPr>
          <w:sz w:val="26"/>
          <w:szCs w:val="26"/>
        </w:rPr>
      </w:pPr>
      <w:r w:rsidDel="00000000" w:rsidR="00000000" w:rsidRPr="00000000">
        <w:rPr>
          <w:b w:val="1"/>
          <w:bCs w:val="1"/>
          <w:sz w:val="26"/>
          <w:szCs w:val="26"/>
          <w:rtl w:val="0"/>
        </w:rPr>
        <w:t xml:space="preserve">Equality context:</w:t>
      </w:r>
      <w:r w:rsidDel="00000000" w:rsidR="00000000" w:rsidRPr="00000000">
        <w:rPr>
          <w:sz w:val="26"/>
          <w:szCs w:val="26"/>
          <w:rtl w:val="0"/>
        </w:rPr>
        <w:t xml:space="preserve"> inattentive to the structural and racialised risks inherent in relying on court technicalities and institutional assurances against a vulnerable, racialised complainant.</w:t>
      </w:r>
    </w:p>
    <w:p w:rsidR="00000000" w:rsidDel="00000000" w:rsidP="00000000" w:rsidRDefault="00000000" w:rsidRPr="00000000" w14:paraId="00000088">
      <w:pPr>
        <w:spacing w:after="240" w:before="240" w:lineRule="auto"/>
        <w:rPr>
          <w:sz w:val="26"/>
          <w:szCs w:val="26"/>
        </w:rPr>
      </w:pPr>
      <w:r w:rsidDel="00000000" w:rsidR="00000000" w:rsidRPr="00000000">
        <w:rPr>
          <w:sz w:val="26"/>
          <w:szCs w:val="26"/>
          <w:rtl w:val="0"/>
        </w:rPr>
        <w:t xml:space="preserve">In academic terms, this is a textbook example of </w:t>
      </w:r>
      <w:r w:rsidDel="00000000" w:rsidR="00000000" w:rsidRPr="00000000">
        <w:rPr>
          <w:b w:val="1"/>
          <w:bCs w:val="1"/>
          <w:sz w:val="26"/>
          <w:szCs w:val="26"/>
          <w:rtl w:val="0"/>
        </w:rPr>
        <w:t xml:space="preserve">regulatory abdication</w:t>
      </w:r>
      <w:r w:rsidDel="00000000" w:rsidR="00000000" w:rsidRPr="00000000">
        <w:rPr>
          <w:sz w:val="26"/>
          <w:szCs w:val="26"/>
          <w:rtl w:val="0"/>
        </w:rPr>
        <w:t xml:space="preserve">: a regulator that has the tools, the mandate, and the evidence to act, but chooses instead to retreat behind other institutions and its own self‑created evidential vacuum.</w:t>
      </w:r>
    </w:p>
    <w:p w:rsidR="00000000" w:rsidDel="00000000" w:rsidP="00000000" w:rsidRDefault="00000000" w:rsidRPr="00000000" w14:paraId="00000089">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www.sra.org.uk/solicitors/standards-regulations/principles/" TargetMode="External"/><Relationship Id="rId10" Type="http://schemas.openxmlformats.org/officeDocument/2006/relationships/hyperlink" Target="https://www.sra.org.uk/solicitors/standards-regulations/principles/" TargetMode="External"/><Relationship Id="rId13" Type="http://schemas.openxmlformats.org/officeDocument/2006/relationships/hyperlink" Target="https://www.rpclegal.com/-/media/rpc/files/perspectives/professional-and-financial-risks/19695bultbossing-the-rules-stars-rule-14-you-do-not-mislead-anyoned2.pdf" TargetMode="External"/><Relationship Id="rId12" Type="http://schemas.openxmlformats.org/officeDocument/2006/relationships/hyperlink" Target="https://www.rpclegal.com/-/media/rpc/files/perspectives/professional-and-financial-risks/19695bultbossing-the-rules-stars-rule-14-you-do-not-mislead-anyoned2.pdf"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sra.org.uk/solicitors/standards-regulations/code-conduct-firms/" TargetMode="External"/><Relationship Id="rId15" Type="http://schemas.openxmlformats.org/officeDocument/2006/relationships/hyperlink" Target="https://www.locktonsolicitors.co.uk/cmsUploads/news/files/The_New_SRA_Standards_and_Regulations.pdf" TargetMode="External"/><Relationship Id="rId14" Type="http://schemas.openxmlformats.org/officeDocument/2006/relationships/hyperlink" Target="https://www.locktonsolicitors.co.uk/cmsUploads/news/files/The_New_SRA_Standards_and_Regulations.pdf" TargetMode="External"/><Relationship Id="rId17" Type="http://schemas.openxmlformats.org/officeDocument/2006/relationships/hyperlink" Target="https://www.sra.org.uk/solicitors/standards-regulations/principles/" TargetMode="External"/><Relationship Id="rId16" Type="http://schemas.openxmlformats.org/officeDocument/2006/relationships/hyperlink" Target="https://www.sra.org.uk/solicitors/standards-regulations/principles/" TargetMode="External"/><Relationship Id="rId5" Type="http://schemas.openxmlformats.org/officeDocument/2006/relationships/styles" Target="styles.xml"/><Relationship Id="rId6" Type="http://schemas.openxmlformats.org/officeDocument/2006/relationships/hyperlink" Target="https://www.sra.org.uk/solicitors/standards-regulations/principles/" TargetMode="External"/><Relationship Id="rId7" Type="http://schemas.openxmlformats.org/officeDocument/2006/relationships/hyperlink" Target="https://www.sra.org.uk/solicitors/standards-regulations/principles/" TargetMode="External"/><Relationship Id="rId8" Type="http://schemas.openxmlformats.org/officeDocument/2006/relationships/hyperlink" Target="https://www.sra.org.uk/solicitors/standards-regulations/code-conduct-firm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